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455" w:rsidRPr="00EF67C1" w:rsidRDefault="000C3455" w:rsidP="00EA7180">
      <w:pPr>
        <w:pStyle w:val="Articletitle"/>
        <w:spacing w:line="480" w:lineRule="auto"/>
        <w:jc w:val="both"/>
        <w:rPr>
          <w:rFonts w:asciiTheme="majorBidi" w:hAnsiTheme="majorBidi" w:cstheme="majorBidi"/>
          <w:bCs/>
          <w:sz w:val="24"/>
        </w:rPr>
      </w:pPr>
      <w:r w:rsidRPr="00EF67C1">
        <w:rPr>
          <w:rFonts w:asciiTheme="majorBidi" w:hAnsiTheme="majorBidi" w:cstheme="majorBidi"/>
          <w:bCs/>
          <w:sz w:val="24"/>
        </w:rPr>
        <w:t xml:space="preserve">Manuscript type: </w:t>
      </w:r>
      <w:r w:rsidRPr="00EF67C1">
        <w:rPr>
          <w:rFonts w:asciiTheme="majorBidi" w:hAnsiTheme="majorBidi" w:cstheme="majorBidi"/>
          <w:b w:val="0"/>
          <w:sz w:val="24"/>
        </w:rPr>
        <w:t>Original Research</w:t>
      </w:r>
    </w:p>
    <w:p w:rsidR="00F227E3" w:rsidRDefault="000C3455" w:rsidP="00EA7180">
      <w:pPr>
        <w:pStyle w:val="Articletitle"/>
        <w:spacing w:line="480" w:lineRule="auto"/>
        <w:jc w:val="both"/>
        <w:rPr>
          <w:rFonts w:asciiTheme="majorBidi" w:hAnsiTheme="majorBidi" w:cstheme="majorBidi"/>
          <w:b w:val="0"/>
          <w:sz w:val="24"/>
        </w:rPr>
      </w:pPr>
      <w:r w:rsidRPr="00EF67C1">
        <w:rPr>
          <w:rFonts w:asciiTheme="majorBidi" w:hAnsiTheme="majorBidi" w:cstheme="majorBidi"/>
          <w:bCs/>
          <w:sz w:val="24"/>
        </w:rPr>
        <w:t xml:space="preserve">Title: </w:t>
      </w:r>
      <w:r w:rsidR="00F046FA" w:rsidRPr="00F227E3">
        <w:rPr>
          <w:rFonts w:asciiTheme="majorBidi" w:hAnsiTheme="majorBidi" w:cstheme="majorBidi"/>
          <w:b w:val="0"/>
          <w:sz w:val="24"/>
        </w:rPr>
        <w:t xml:space="preserve">The effects of fertigation-applied sulfuric acid on phosphorus availability and some </w:t>
      </w:r>
    </w:p>
    <w:p w:rsidR="00F046FA" w:rsidRPr="00EF67C1" w:rsidRDefault="00F227E3" w:rsidP="00EA7180">
      <w:pPr>
        <w:pStyle w:val="Articletitle"/>
        <w:spacing w:line="480" w:lineRule="auto"/>
        <w:jc w:val="both"/>
        <w:rPr>
          <w:rFonts w:asciiTheme="majorBidi" w:hAnsiTheme="majorBidi" w:cstheme="majorBidi"/>
          <w:bCs/>
          <w:sz w:val="24"/>
        </w:rPr>
      </w:pPr>
      <w:r>
        <w:rPr>
          <w:rFonts w:asciiTheme="majorBidi" w:hAnsiTheme="majorBidi" w:cstheme="majorBidi"/>
          <w:b w:val="0"/>
          <w:sz w:val="24"/>
        </w:rPr>
        <w:t xml:space="preserve">           </w:t>
      </w:r>
      <w:r w:rsidR="00F046FA" w:rsidRPr="00F227E3">
        <w:rPr>
          <w:rFonts w:asciiTheme="majorBidi" w:hAnsiTheme="majorBidi" w:cstheme="majorBidi"/>
          <w:b w:val="0"/>
          <w:sz w:val="24"/>
        </w:rPr>
        <w:t>microelements for greenhouse cucumbers</w:t>
      </w:r>
    </w:p>
    <w:p w:rsidR="000C3455" w:rsidRPr="00F227E3" w:rsidRDefault="000C3455" w:rsidP="00EA7180">
      <w:pPr>
        <w:jc w:val="both"/>
        <w:rPr>
          <w:b/>
          <w:bCs/>
        </w:rPr>
      </w:pPr>
      <w:r w:rsidRPr="00F227E3">
        <w:rPr>
          <w:b/>
          <w:bCs/>
        </w:rPr>
        <w:t xml:space="preserve">Running Title: </w:t>
      </w:r>
      <w:r w:rsidR="00EA7180" w:rsidRPr="00EA7180">
        <w:t>Elements availability improved</w:t>
      </w:r>
    </w:p>
    <w:p w:rsidR="00F046FA" w:rsidRPr="00EF67C1" w:rsidRDefault="000C3455" w:rsidP="00EA7180">
      <w:pPr>
        <w:pStyle w:val="Authornames"/>
        <w:spacing w:line="480" w:lineRule="auto"/>
        <w:jc w:val="both"/>
        <w:rPr>
          <w:sz w:val="24"/>
        </w:rPr>
      </w:pPr>
      <w:r w:rsidRPr="00F227E3">
        <w:rPr>
          <w:b/>
          <w:bCs/>
          <w:sz w:val="24"/>
        </w:rPr>
        <w:t xml:space="preserve">Author: </w:t>
      </w:r>
      <w:r w:rsidR="00F046FA" w:rsidRPr="00EF67C1">
        <w:rPr>
          <w:sz w:val="24"/>
        </w:rPr>
        <w:t xml:space="preserve">Hemn Othman </w:t>
      </w:r>
      <w:proofErr w:type="spellStart"/>
      <w:r w:rsidR="00F046FA" w:rsidRPr="00EF67C1">
        <w:rPr>
          <w:sz w:val="24"/>
        </w:rPr>
        <w:t>Salih</w:t>
      </w:r>
      <w:proofErr w:type="spellEnd"/>
    </w:p>
    <w:p w:rsidR="00F227E3" w:rsidRDefault="00F227E3" w:rsidP="00EA7180">
      <w:pPr>
        <w:pStyle w:val="Affiliation"/>
        <w:spacing w:line="480" w:lineRule="auto"/>
        <w:jc w:val="both"/>
        <w:rPr>
          <w:i w:val="0"/>
          <w:iCs/>
          <w:lang w:val="en-US"/>
        </w:rPr>
      </w:pPr>
      <w:r>
        <w:rPr>
          <w:i w:val="0"/>
          <w:iCs/>
          <w:lang w:val="en-US"/>
        </w:rPr>
        <w:t xml:space="preserve">               </w:t>
      </w:r>
      <w:r w:rsidR="00F046FA" w:rsidRPr="00F227E3">
        <w:rPr>
          <w:i w:val="0"/>
          <w:iCs/>
          <w:lang w:val="en-US"/>
        </w:rPr>
        <w:t xml:space="preserve">Plant production Department, </w:t>
      </w:r>
      <w:proofErr w:type="spellStart"/>
      <w:r w:rsidR="00F046FA" w:rsidRPr="00F227E3">
        <w:rPr>
          <w:i w:val="0"/>
          <w:iCs/>
          <w:lang w:val="en-US"/>
        </w:rPr>
        <w:t>Khabat</w:t>
      </w:r>
      <w:proofErr w:type="spellEnd"/>
      <w:r w:rsidR="00F046FA" w:rsidRPr="00F227E3">
        <w:rPr>
          <w:i w:val="0"/>
          <w:iCs/>
          <w:lang w:val="en-US"/>
        </w:rPr>
        <w:t xml:space="preserve"> Technical Institute, Erbil Polytechnic University,</w:t>
      </w:r>
    </w:p>
    <w:p w:rsidR="00F046FA" w:rsidRPr="00F227E3" w:rsidRDefault="00F227E3" w:rsidP="00EA7180">
      <w:pPr>
        <w:pStyle w:val="Affiliation"/>
        <w:spacing w:line="480" w:lineRule="auto"/>
        <w:jc w:val="both"/>
        <w:rPr>
          <w:i w:val="0"/>
          <w:iCs/>
        </w:rPr>
      </w:pPr>
      <w:r>
        <w:rPr>
          <w:i w:val="0"/>
          <w:iCs/>
          <w:lang w:val="en-US"/>
        </w:rPr>
        <w:t xml:space="preserve">             </w:t>
      </w:r>
      <w:r w:rsidR="00F046FA" w:rsidRPr="00F227E3">
        <w:rPr>
          <w:i w:val="0"/>
          <w:iCs/>
          <w:lang w:val="en-US"/>
        </w:rPr>
        <w:t xml:space="preserve"> </w:t>
      </w:r>
      <w:r>
        <w:rPr>
          <w:i w:val="0"/>
          <w:iCs/>
          <w:lang w:val="en-US"/>
        </w:rPr>
        <w:t xml:space="preserve"> </w:t>
      </w:r>
      <w:r w:rsidR="00F046FA" w:rsidRPr="00F227E3">
        <w:rPr>
          <w:i w:val="0"/>
          <w:iCs/>
          <w:lang w:val="en-US"/>
        </w:rPr>
        <w:t>Erbil, Kurdistan Region, Iraq</w:t>
      </w:r>
    </w:p>
    <w:p w:rsidR="00F046FA" w:rsidRPr="00EF67C1" w:rsidRDefault="00F046FA" w:rsidP="00EA7180">
      <w:pPr>
        <w:pStyle w:val="Notesoncontributors"/>
        <w:spacing w:line="480" w:lineRule="auto"/>
        <w:jc w:val="both"/>
        <w:rPr>
          <w:sz w:val="24"/>
        </w:rPr>
      </w:pPr>
      <w:r w:rsidRPr="00F227E3">
        <w:rPr>
          <w:b/>
          <w:bCs/>
          <w:sz w:val="24"/>
        </w:rPr>
        <w:t>Corresponding Author:</w:t>
      </w:r>
      <w:r w:rsidRPr="00EF67C1">
        <w:rPr>
          <w:sz w:val="24"/>
          <w:lang w:val="en-US"/>
        </w:rPr>
        <w:t xml:space="preserve"> </w:t>
      </w:r>
      <w:hyperlink r:id="rId8" w:history="1">
        <w:r w:rsidRPr="00EF67C1">
          <w:rPr>
            <w:rStyle w:val="Hyperlink"/>
            <w:sz w:val="24"/>
            <w:lang w:val="en-US"/>
          </w:rPr>
          <w:t>hemn.salih@epu.edu.iq</w:t>
        </w:r>
      </w:hyperlink>
      <w:r w:rsidRPr="00EF67C1">
        <w:rPr>
          <w:sz w:val="24"/>
        </w:rPr>
        <w:t>.</w:t>
      </w:r>
    </w:p>
    <w:p w:rsidR="000C3455" w:rsidRPr="00EF67C1" w:rsidRDefault="000C3455" w:rsidP="00EA7180">
      <w:pPr>
        <w:pStyle w:val="Notesoncontributors"/>
        <w:spacing w:line="480" w:lineRule="auto"/>
        <w:jc w:val="both"/>
        <w:rPr>
          <w:sz w:val="24"/>
        </w:rPr>
      </w:pPr>
      <w:r w:rsidRPr="00F227E3">
        <w:rPr>
          <w:b/>
          <w:bCs/>
          <w:sz w:val="24"/>
        </w:rPr>
        <w:t xml:space="preserve">Novelty Statement: </w:t>
      </w:r>
    </w:p>
    <w:p w:rsidR="00EA7180" w:rsidRPr="00EA7180" w:rsidRDefault="00EA7180" w:rsidP="00EA7180">
      <w:pPr>
        <w:pStyle w:val="ListParagraph"/>
        <w:numPr>
          <w:ilvl w:val="0"/>
          <w:numId w:val="25"/>
        </w:numPr>
        <w:spacing w:before="120" w:line="480" w:lineRule="auto"/>
        <w:jc w:val="both"/>
        <w:rPr>
          <w:iCs/>
          <w:sz w:val="24"/>
          <w:lang w:val="en-GB"/>
        </w:rPr>
      </w:pPr>
      <w:r w:rsidRPr="00EA7180">
        <w:rPr>
          <w:iCs/>
          <w:sz w:val="24"/>
          <w:lang w:val="en-GB"/>
        </w:rPr>
        <w:t xml:space="preserve">Low concentrations of </w:t>
      </w:r>
      <w:proofErr w:type="spellStart"/>
      <w:r w:rsidRPr="00EA7180">
        <w:rPr>
          <w:iCs/>
          <w:sz w:val="24"/>
          <w:lang w:val="en-GB"/>
        </w:rPr>
        <w:t>sulfuric</w:t>
      </w:r>
      <w:proofErr w:type="spellEnd"/>
      <w:r w:rsidRPr="00EA7180">
        <w:rPr>
          <w:iCs/>
          <w:sz w:val="24"/>
          <w:lang w:val="en-GB"/>
        </w:rPr>
        <w:t xml:space="preserve"> acid improve the elements availability?</w:t>
      </w:r>
    </w:p>
    <w:p w:rsidR="00EA7180" w:rsidRPr="00EA7180" w:rsidRDefault="00EA7180" w:rsidP="00EA7180">
      <w:pPr>
        <w:pStyle w:val="ListParagraph"/>
        <w:numPr>
          <w:ilvl w:val="0"/>
          <w:numId w:val="25"/>
        </w:numPr>
        <w:spacing w:before="120" w:line="480" w:lineRule="auto"/>
        <w:jc w:val="both"/>
        <w:rPr>
          <w:iCs/>
          <w:sz w:val="24"/>
          <w:lang w:val="en-GB"/>
        </w:rPr>
      </w:pPr>
      <w:r w:rsidRPr="00EA7180">
        <w:rPr>
          <w:iCs/>
          <w:sz w:val="24"/>
          <w:lang w:val="en-GB"/>
        </w:rPr>
        <w:t xml:space="preserve">Adding low concentrations of </w:t>
      </w:r>
      <w:proofErr w:type="spellStart"/>
      <w:r w:rsidRPr="00EA7180">
        <w:rPr>
          <w:iCs/>
          <w:sz w:val="24"/>
          <w:lang w:val="en-GB"/>
        </w:rPr>
        <w:t>sulfuric</w:t>
      </w:r>
      <w:proofErr w:type="spellEnd"/>
      <w:r w:rsidRPr="00EA7180">
        <w:rPr>
          <w:iCs/>
          <w:sz w:val="24"/>
          <w:lang w:val="en-GB"/>
        </w:rPr>
        <w:t xml:space="preserve"> acid can decrease pH value then the elements are available.</w:t>
      </w:r>
    </w:p>
    <w:p w:rsidR="00EA7180" w:rsidRPr="00EA7180" w:rsidRDefault="00EA7180" w:rsidP="00EA7180">
      <w:pPr>
        <w:pStyle w:val="ListParagraph"/>
        <w:numPr>
          <w:ilvl w:val="0"/>
          <w:numId w:val="25"/>
        </w:numPr>
        <w:spacing w:before="120" w:line="480" w:lineRule="auto"/>
        <w:jc w:val="both"/>
        <w:rPr>
          <w:iCs/>
          <w:sz w:val="24"/>
          <w:lang w:val="en-GB"/>
        </w:rPr>
      </w:pPr>
      <w:r w:rsidRPr="00EA7180">
        <w:rPr>
          <w:iCs/>
          <w:sz w:val="24"/>
          <w:lang w:val="en-GB"/>
        </w:rPr>
        <w:t xml:space="preserve">Availability of phosphorus and micronutrients (Fe, Zn, Cu, B and </w:t>
      </w:r>
      <w:proofErr w:type="spellStart"/>
      <w:r w:rsidRPr="00EA7180">
        <w:rPr>
          <w:iCs/>
          <w:sz w:val="24"/>
          <w:lang w:val="en-GB"/>
        </w:rPr>
        <w:t>Mn</w:t>
      </w:r>
      <w:proofErr w:type="spellEnd"/>
      <w:r w:rsidRPr="00EA7180">
        <w:rPr>
          <w:iCs/>
          <w:sz w:val="24"/>
          <w:lang w:val="en-GB"/>
        </w:rPr>
        <w:t>) was improved by C4 (5 ml L-1).</w:t>
      </w:r>
    </w:p>
    <w:p w:rsidR="00EA7180" w:rsidRPr="00EA7180" w:rsidRDefault="00EA7180" w:rsidP="00EA7180">
      <w:pPr>
        <w:pStyle w:val="ListParagraph"/>
        <w:numPr>
          <w:ilvl w:val="0"/>
          <w:numId w:val="25"/>
        </w:numPr>
        <w:spacing w:before="120" w:line="480" w:lineRule="auto"/>
        <w:jc w:val="both"/>
        <w:rPr>
          <w:iCs/>
          <w:sz w:val="24"/>
          <w:lang w:val="en-GB"/>
        </w:rPr>
      </w:pPr>
      <w:r w:rsidRPr="00EA7180">
        <w:rPr>
          <w:iCs/>
          <w:sz w:val="24"/>
          <w:lang w:val="en-GB"/>
        </w:rPr>
        <w:t xml:space="preserve">The concentration of the elements in plant tissues and yield increased. </w:t>
      </w:r>
    </w:p>
    <w:p w:rsidR="00EA7180" w:rsidRPr="00EA7180" w:rsidRDefault="00EA7180" w:rsidP="00EA7180">
      <w:pPr>
        <w:pStyle w:val="ListParagraph"/>
        <w:numPr>
          <w:ilvl w:val="0"/>
          <w:numId w:val="25"/>
        </w:numPr>
        <w:spacing w:before="120" w:line="480" w:lineRule="auto"/>
        <w:jc w:val="both"/>
        <w:rPr>
          <w:iCs/>
          <w:sz w:val="24"/>
          <w:lang w:val="en-GB"/>
        </w:rPr>
      </w:pPr>
      <w:r w:rsidRPr="00EA7180">
        <w:rPr>
          <w:iCs/>
          <w:sz w:val="24"/>
          <w:lang w:val="en-GB"/>
        </w:rPr>
        <w:t>The work is related to soil chemistry and plant nutrition which is a scope of the journal.</w:t>
      </w:r>
    </w:p>
    <w:p w:rsidR="00F046FA" w:rsidRPr="00DE5B87" w:rsidRDefault="00F046FA" w:rsidP="00EA7180">
      <w:pPr>
        <w:pStyle w:val="Abstract"/>
        <w:spacing w:line="480" w:lineRule="auto"/>
        <w:ind w:left="0" w:right="-7"/>
        <w:jc w:val="both"/>
        <w:rPr>
          <w:b/>
          <w:bCs/>
          <w:sz w:val="24"/>
        </w:rPr>
      </w:pPr>
      <w:r w:rsidRPr="00104BD7">
        <w:rPr>
          <w:b/>
          <w:bCs/>
          <w:sz w:val="24"/>
        </w:rPr>
        <w:lastRenderedPageBreak/>
        <w:t>ABSTRACT</w:t>
      </w:r>
      <w:r>
        <w:rPr>
          <w:b/>
          <w:bCs/>
          <w:sz w:val="24"/>
        </w:rPr>
        <w:t xml:space="preserve">. </w:t>
      </w:r>
      <w:r w:rsidRPr="00104BD7">
        <w:rPr>
          <w:sz w:val="24"/>
        </w:rPr>
        <w:t xml:space="preserve">Essential nutrient elements such as P, Fe, Zn, Cu, B and Mn are mostly affected by soil </w:t>
      </w:r>
      <w:proofErr w:type="spellStart"/>
      <w:r w:rsidRPr="00104BD7">
        <w:rPr>
          <w:sz w:val="24"/>
        </w:rPr>
        <w:t>pH.</w:t>
      </w:r>
      <w:proofErr w:type="spellEnd"/>
      <w:r w:rsidRPr="00104BD7">
        <w:rPr>
          <w:sz w:val="24"/>
        </w:rPr>
        <w:t xml:space="preserve"> In calcareous soils, it is often difficult to obtain a pH of 6-6.5 - the optimum soil pH value of phosphorus and micronutrients. In order to study the addition of different amounts of sulfuric acid through irrigation to minimize soil pH value, and to improve the availability of the elements on cucumbers, experiments were carried out on two types of soil textures: </w:t>
      </w:r>
      <w:proofErr w:type="spellStart"/>
      <w:r w:rsidRPr="00104BD7">
        <w:rPr>
          <w:sz w:val="24"/>
        </w:rPr>
        <w:t>Silty</w:t>
      </w:r>
      <w:proofErr w:type="spellEnd"/>
      <w:r w:rsidRPr="00104BD7">
        <w:rPr>
          <w:sz w:val="24"/>
        </w:rPr>
        <w:t xml:space="preserve"> Clay Loam </w:t>
      </w:r>
      <w:proofErr w:type="spellStart"/>
      <w:r w:rsidRPr="00104BD7">
        <w:rPr>
          <w:sz w:val="24"/>
        </w:rPr>
        <w:t>SiCL</w:t>
      </w:r>
      <w:proofErr w:type="spellEnd"/>
      <w:r w:rsidRPr="00104BD7">
        <w:rPr>
          <w:sz w:val="24"/>
        </w:rPr>
        <w:t xml:space="preserve"> (S1) and </w:t>
      </w:r>
      <w:proofErr w:type="spellStart"/>
      <w:r w:rsidRPr="00104BD7">
        <w:rPr>
          <w:sz w:val="24"/>
        </w:rPr>
        <w:t>Silty</w:t>
      </w:r>
      <w:proofErr w:type="spellEnd"/>
      <w:r w:rsidRPr="00104BD7">
        <w:rPr>
          <w:sz w:val="24"/>
        </w:rPr>
        <w:t xml:space="preserve"> Clay </w:t>
      </w:r>
      <w:proofErr w:type="spellStart"/>
      <w:r w:rsidRPr="00104BD7">
        <w:rPr>
          <w:sz w:val="24"/>
        </w:rPr>
        <w:t>SiC</w:t>
      </w:r>
      <w:proofErr w:type="spellEnd"/>
      <w:r w:rsidRPr="00104BD7">
        <w:rPr>
          <w:sz w:val="24"/>
        </w:rPr>
        <w:t xml:space="preserve"> (S2). The sulfuric acid was applied with different concentrations (0, 0.5, 1, 3, and 5 ml L</w:t>
      </w:r>
      <w:r w:rsidRPr="00104BD7">
        <w:rPr>
          <w:sz w:val="24"/>
          <w:vertAlign w:val="superscript"/>
        </w:rPr>
        <w:t>-1</w:t>
      </w:r>
      <w:r w:rsidRPr="00104BD7">
        <w:rPr>
          <w:sz w:val="24"/>
        </w:rPr>
        <w:t xml:space="preserve">). The elements’ concentration was studied at three soil depths (D1=0-10, D2=10-20 and D3=20-30) cm. The availability of P and micronutrients primarily increased in C4D3 in S2 soil. The P in this work was a positive correlation with Zn in both soils, while it showed a negative correlation with other micronutrients (Fe, Cu, B and Mn). Element concentration in plant tissue was studied in the plant residues after harvesting. The C3 was highly effective in increasing the elements (P, Fe, Zn, Cu, B, and Mn) in plant tissues in both soils, and had a significant effect on the increase in cucumber yield. </w:t>
      </w:r>
    </w:p>
    <w:p w:rsidR="00F046FA" w:rsidRPr="00104BD7" w:rsidRDefault="00F046FA" w:rsidP="00EA7180">
      <w:pPr>
        <w:pStyle w:val="Keywords"/>
        <w:tabs>
          <w:tab w:val="right" w:pos="9065"/>
        </w:tabs>
        <w:spacing w:line="480" w:lineRule="auto"/>
        <w:ind w:left="0" w:right="-7"/>
        <w:jc w:val="both"/>
        <w:rPr>
          <w:sz w:val="24"/>
        </w:rPr>
      </w:pPr>
      <w:r w:rsidRPr="00104BD7">
        <w:rPr>
          <w:b/>
          <w:bCs/>
          <w:sz w:val="24"/>
        </w:rPr>
        <w:t>Keywords:</w:t>
      </w:r>
      <w:r w:rsidRPr="00104BD7">
        <w:rPr>
          <w:sz w:val="24"/>
        </w:rPr>
        <w:t xml:space="preserve"> Fertigation; Sulfuric acid; phosphor</w:t>
      </w:r>
      <w:r>
        <w:rPr>
          <w:sz w:val="24"/>
        </w:rPr>
        <w:t xml:space="preserve">us; Microelements availability; </w:t>
      </w:r>
      <w:r w:rsidRPr="00104BD7">
        <w:rPr>
          <w:sz w:val="24"/>
        </w:rPr>
        <w:t>cucumber</w:t>
      </w:r>
    </w:p>
    <w:p w:rsidR="00F046FA" w:rsidRDefault="00F046FA" w:rsidP="00EA7180">
      <w:pPr>
        <w:pStyle w:val="Heading1"/>
        <w:tabs>
          <w:tab w:val="right" w:pos="9065"/>
        </w:tabs>
        <w:spacing w:line="480" w:lineRule="auto"/>
        <w:ind w:right="-7"/>
        <w:rPr>
          <w:szCs w:val="24"/>
        </w:rPr>
      </w:pPr>
    </w:p>
    <w:p w:rsidR="00F046FA" w:rsidRDefault="00F046FA" w:rsidP="00EA7180">
      <w:pPr>
        <w:pStyle w:val="Paragraph"/>
        <w:sectPr w:rsidR="00F046FA" w:rsidSect="00EA7180">
          <w:footerReference w:type="default" r:id="rId9"/>
          <w:pgSz w:w="12240" w:h="15840"/>
          <w:pgMar w:top="1701" w:right="1701" w:bottom="1701" w:left="1701" w:header="720" w:footer="720" w:gutter="0"/>
          <w:cols w:space="720"/>
          <w:docGrid w:linePitch="360"/>
        </w:sectPr>
      </w:pPr>
    </w:p>
    <w:p w:rsidR="00F046FA" w:rsidRPr="00104BD7" w:rsidRDefault="00F046FA" w:rsidP="00EA7180">
      <w:pPr>
        <w:pStyle w:val="Heading1"/>
        <w:spacing w:line="480" w:lineRule="auto"/>
        <w:rPr>
          <w:szCs w:val="24"/>
        </w:rPr>
      </w:pPr>
      <w:r w:rsidRPr="00104BD7">
        <w:rPr>
          <w:szCs w:val="24"/>
        </w:rPr>
        <w:lastRenderedPageBreak/>
        <w:t>Introduction</w:t>
      </w:r>
    </w:p>
    <w:p w:rsidR="00F046FA" w:rsidRPr="00104BD7" w:rsidRDefault="00F046FA" w:rsidP="007C6AB0">
      <w:pPr>
        <w:pStyle w:val="Newparagraph"/>
        <w:ind w:firstLine="0"/>
        <w:jc w:val="both"/>
      </w:pPr>
      <w:r w:rsidRPr="00104BD7">
        <w:t>Cucumber (</w:t>
      </w:r>
      <w:r w:rsidRPr="00104BD7">
        <w:rPr>
          <w:i/>
          <w:iCs/>
        </w:rPr>
        <w:t xml:space="preserve">Cucumis sativus </w:t>
      </w:r>
      <w:r w:rsidRPr="00104BD7">
        <w:t xml:space="preserve">L.) is considered to be one of the most important vegetables and is a popular member of the Cucurbitaceae family </w:t>
      </w:r>
      <w:r>
        <w:rPr>
          <w:noProof/>
        </w:rPr>
        <w:t>(Renner et al., 2007)</w:t>
      </w:r>
      <w:r w:rsidRPr="00104BD7">
        <w:t xml:space="preserve">. Most nutrients are recommended to be necessary to improve cucumber yield and product quality </w:t>
      </w:r>
      <w:r>
        <w:rPr>
          <w:noProof/>
        </w:rPr>
        <w:t>(Maboko et al., 2017)</w:t>
      </w:r>
      <w:r w:rsidRPr="00104BD7">
        <w:t xml:space="preserve">. Among these nutrients, phosphorus (P) is deemed the most important macro element to the plant, as it is vitally connected to a number of functions in the plant including photosynthesis, energy transfer, respiration, and cell division </w:t>
      </w:r>
      <w:r>
        <w:rPr>
          <w:noProof/>
        </w:rPr>
        <w:t>(Esmail et al., 2019)</w:t>
      </w:r>
      <w:r w:rsidRPr="00104BD7">
        <w:t xml:space="preserve">. Also, micronutrients contribute to numerous physiological processes. For example, iron (Fe) is a component of several enzymes involved in various biological processes including respiration and photosynthesis; zinc (Zn) is an important component of many enzymes, and a structural stabilizer of proteins and plant membranes; manganese (Mn) is an active component of the water-splitting system of photosystem II that supplies the electrons necessary for photosynthesis; copper (Cu) is a redox transition element with an important function in photosynthesis, respiration, and the metabolism of carbon (C) and nitrogen (N). Cu also induces protection against oxidative stress, and boron (B) participates in cell division, water relations, ion adsorption, the metabolism of carbohydrates, and the translocations of sugar and fruit </w:t>
      </w:r>
      <w:r>
        <w:rPr>
          <w:noProof/>
        </w:rPr>
        <w:t>(Ramírez-Pérez et al., 2017)</w:t>
      </w:r>
      <w:r w:rsidRPr="00104BD7">
        <w:t xml:space="preserve">. Furthermore, the availability of these nutrients is mainly affected by soil type, in particular, calcareous soils due to a high pH value. Iraqi soils are categorized in this class of soil </w:t>
      </w:r>
      <w:r>
        <w:rPr>
          <w:noProof/>
        </w:rPr>
        <w:t>(</w:t>
      </w:r>
      <w:r w:rsidR="007C6AB0">
        <w:rPr>
          <w:noProof/>
        </w:rPr>
        <w:t>Rate and Sheikh-Abdullah, 2017;</w:t>
      </w:r>
      <w:r w:rsidR="007C6AB0">
        <w:rPr>
          <w:noProof/>
        </w:rPr>
        <w:t xml:space="preserve"> </w:t>
      </w:r>
      <w:r>
        <w:rPr>
          <w:noProof/>
        </w:rPr>
        <w:t>Mam-Rasul, 2019)</w:t>
      </w:r>
      <w:r w:rsidRPr="00104BD7">
        <w:t xml:space="preserve">. </w:t>
      </w:r>
    </w:p>
    <w:p w:rsidR="00F046FA" w:rsidRDefault="00F046FA" w:rsidP="00F01586">
      <w:pPr>
        <w:pStyle w:val="Newparagraph"/>
        <w:ind w:firstLine="0"/>
        <w:jc w:val="both"/>
      </w:pPr>
      <w:r>
        <w:rPr>
          <w:noProof/>
        </w:rPr>
        <w:t>Sheikh-Abdullah (2019)</w:t>
      </w:r>
      <w:r w:rsidRPr="00104BD7">
        <w:t xml:space="preserve"> confirmed that active CaCO</w:t>
      </w:r>
      <w:r w:rsidRPr="00104BD7">
        <w:rPr>
          <w:vertAlign w:val="subscript"/>
        </w:rPr>
        <w:t>3</w:t>
      </w:r>
      <w:r w:rsidRPr="00104BD7">
        <w:t xml:space="preserve"> negatively influences the availability of micronutrients such as Fe, Zn and Mn. </w:t>
      </w:r>
      <w:r>
        <w:rPr>
          <w:noProof/>
        </w:rPr>
        <w:t>Khorsandi (1994)</w:t>
      </w:r>
      <w:r w:rsidRPr="00104BD7">
        <w:t xml:space="preserve"> stated that better P solubility occurs at a pH ranging between 6-6.5. Several methods have been </w:t>
      </w:r>
      <w:r w:rsidRPr="00104BD7">
        <w:lastRenderedPageBreak/>
        <w:t xml:space="preserve">reported to benefit a reduction in pH value and then increase nutrient availability; for example, adding </w:t>
      </w:r>
      <w:proofErr w:type="spellStart"/>
      <w:r w:rsidRPr="00104BD7">
        <w:t>sulfur</w:t>
      </w:r>
      <w:proofErr w:type="spellEnd"/>
      <w:r w:rsidRPr="00104BD7">
        <w:t xml:space="preserve"> to the soils then oxidation into H</w:t>
      </w:r>
      <w:r w:rsidRPr="00104BD7">
        <w:rPr>
          <w:vertAlign w:val="subscript"/>
        </w:rPr>
        <w:t>2</w:t>
      </w:r>
      <w:r w:rsidRPr="00104BD7">
        <w:t>SO</w:t>
      </w:r>
      <w:r w:rsidRPr="00104BD7">
        <w:rPr>
          <w:vertAlign w:val="subscript"/>
        </w:rPr>
        <w:t>4</w:t>
      </w:r>
      <w:r w:rsidRPr="00104BD7">
        <w:t xml:space="preserve"> results in increasing the availability of nutrients by reducing soil pH </w:t>
      </w:r>
      <w:r>
        <w:rPr>
          <w:noProof/>
        </w:rPr>
        <w:t>(Soaud et al., 2011)</w:t>
      </w:r>
      <w:r w:rsidRPr="00104BD7">
        <w:t>. However, the direct use of sulfuric acid into the soil to minimize the pH value might be helpful</w:t>
      </w:r>
      <w:r w:rsidRPr="00104BD7" w:rsidDel="0096438C">
        <w:t xml:space="preserve"> </w:t>
      </w:r>
      <w:r w:rsidRPr="00104BD7">
        <w:t xml:space="preserve">to increase soil nutrient availability </w:t>
      </w:r>
      <w:r>
        <w:rPr>
          <w:noProof/>
        </w:rPr>
        <w:t>(Khorsandi, 1994)</w:t>
      </w:r>
      <w:r w:rsidRPr="00104BD7">
        <w:t>. In Iraqi calcareous soils, the factor of adding sulfuric acid to improve nutrient availability has not been carried out; thus, this study aimed to add sulfuric acid at different concentrations to lower soil pH under plastic house</w:t>
      </w:r>
      <w:r w:rsidRPr="00104BD7">
        <w:rPr>
          <w:b/>
          <w:bCs/>
        </w:rPr>
        <w:t xml:space="preserve"> </w:t>
      </w:r>
      <w:r w:rsidRPr="00104BD7">
        <w:t>conditions, and illustrate its impact on the growth and yield of cucumbers, as well as the availability of P, Fe, Zn, Cu, B and Mn.</w:t>
      </w:r>
    </w:p>
    <w:p w:rsidR="00F046FA" w:rsidRPr="00104BD7" w:rsidRDefault="00F046FA" w:rsidP="007C6AB0">
      <w:pPr>
        <w:pStyle w:val="Heading2"/>
        <w:spacing w:line="480" w:lineRule="auto"/>
        <w:rPr>
          <w:szCs w:val="24"/>
        </w:rPr>
      </w:pPr>
      <w:r w:rsidRPr="00104BD7">
        <w:rPr>
          <w:rFonts w:asciiTheme="majorBidi" w:hAnsiTheme="majorBidi" w:cstheme="majorBidi"/>
          <w:i w:val="0"/>
          <w:iCs w:val="0"/>
          <w:szCs w:val="24"/>
        </w:rPr>
        <w:t>Material and Methods</w:t>
      </w:r>
    </w:p>
    <w:p w:rsidR="00F046FA" w:rsidRDefault="00F046FA" w:rsidP="00F01586">
      <w:pPr>
        <w:pStyle w:val="Paragraph"/>
        <w:spacing w:before="100" w:beforeAutospacing="1" w:after="100" w:afterAutospacing="1"/>
        <w:jc w:val="both"/>
        <w:rPr>
          <w:rFonts w:asciiTheme="majorBidi" w:hAnsiTheme="majorBidi" w:cstheme="majorBidi"/>
        </w:rPr>
      </w:pPr>
      <w:r w:rsidRPr="00104BD7">
        <w:rPr>
          <w:rFonts w:asciiTheme="majorBidi" w:hAnsiTheme="majorBidi" w:cstheme="majorBidi"/>
        </w:rPr>
        <w:t xml:space="preserve">The experiments were conducted at the Agricultural Research Station in </w:t>
      </w:r>
      <w:proofErr w:type="spellStart"/>
      <w:r w:rsidRPr="00104BD7">
        <w:rPr>
          <w:rFonts w:asciiTheme="majorBidi" w:hAnsiTheme="majorBidi" w:cstheme="majorBidi"/>
        </w:rPr>
        <w:t>Grdarasha</w:t>
      </w:r>
      <w:proofErr w:type="spellEnd"/>
      <w:r w:rsidRPr="00104BD7">
        <w:rPr>
          <w:rFonts w:asciiTheme="majorBidi" w:hAnsiTheme="majorBidi" w:cstheme="majorBidi"/>
        </w:rPr>
        <w:t xml:space="preserve"> (412 m, 36</w:t>
      </w:r>
      <w:r w:rsidRPr="00104BD7">
        <w:rPr>
          <w:rFonts w:asciiTheme="majorBidi" w:hAnsiTheme="majorBidi" w:cstheme="majorBidi"/>
          <w:vertAlign w:val="superscript"/>
        </w:rPr>
        <w:t>0</w:t>
      </w:r>
      <w:r w:rsidRPr="00104BD7">
        <w:rPr>
          <w:rFonts w:asciiTheme="majorBidi" w:hAnsiTheme="majorBidi" w:cstheme="majorBidi"/>
        </w:rPr>
        <w:t>07</w:t>
      </w:r>
      <w:r w:rsidRPr="00104BD7">
        <w:rPr>
          <w:rFonts w:asciiTheme="majorBidi" w:hAnsiTheme="majorBidi" w:cstheme="majorBidi"/>
          <w:vertAlign w:val="superscript"/>
        </w:rPr>
        <w:t>'</w:t>
      </w:r>
      <w:r w:rsidRPr="00104BD7">
        <w:rPr>
          <w:rFonts w:asciiTheme="majorBidi" w:hAnsiTheme="majorBidi" w:cstheme="majorBidi"/>
        </w:rPr>
        <w:t>10.44</w:t>
      </w:r>
      <w:r w:rsidRPr="00104BD7">
        <w:rPr>
          <w:rFonts w:asciiTheme="majorBidi" w:hAnsiTheme="majorBidi" w:cstheme="majorBidi"/>
          <w:vertAlign w:val="superscript"/>
        </w:rPr>
        <w:t>"</w:t>
      </w:r>
      <w:r w:rsidRPr="00104BD7">
        <w:rPr>
          <w:rFonts w:asciiTheme="majorBidi" w:hAnsiTheme="majorBidi" w:cstheme="majorBidi"/>
        </w:rPr>
        <w:t xml:space="preserve"> N – 44</w:t>
      </w:r>
      <w:r w:rsidRPr="00104BD7">
        <w:rPr>
          <w:rFonts w:asciiTheme="majorBidi" w:hAnsiTheme="majorBidi" w:cstheme="majorBidi"/>
          <w:vertAlign w:val="superscript"/>
        </w:rPr>
        <w:t>0</w:t>
      </w:r>
      <w:r w:rsidRPr="00104BD7">
        <w:rPr>
          <w:rFonts w:asciiTheme="majorBidi" w:hAnsiTheme="majorBidi" w:cstheme="majorBidi"/>
        </w:rPr>
        <w:t>00</w:t>
      </w:r>
      <w:r w:rsidRPr="00104BD7">
        <w:rPr>
          <w:rFonts w:asciiTheme="majorBidi" w:hAnsiTheme="majorBidi" w:cstheme="majorBidi"/>
          <w:vertAlign w:val="superscript"/>
        </w:rPr>
        <w:t>'</w:t>
      </w:r>
      <w:r w:rsidRPr="00104BD7">
        <w:rPr>
          <w:rFonts w:asciiTheme="majorBidi" w:hAnsiTheme="majorBidi" w:cstheme="majorBidi"/>
        </w:rPr>
        <w:t xml:space="preserve"> 50.52</w:t>
      </w:r>
      <w:r w:rsidRPr="00104BD7">
        <w:rPr>
          <w:rFonts w:asciiTheme="majorBidi" w:hAnsiTheme="majorBidi" w:cstheme="majorBidi"/>
          <w:vertAlign w:val="superscript"/>
        </w:rPr>
        <w:t>"</w:t>
      </w:r>
      <w:r w:rsidRPr="00104BD7">
        <w:rPr>
          <w:rFonts w:asciiTheme="majorBidi" w:hAnsiTheme="majorBidi" w:cstheme="majorBidi"/>
        </w:rPr>
        <w:t xml:space="preserve"> E), about 4 km south of Erbil centre, and at </w:t>
      </w:r>
      <w:proofErr w:type="spellStart"/>
      <w:r w:rsidRPr="00104BD7">
        <w:rPr>
          <w:rFonts w:asciiTheme="majorBidi" w:hAnsiTheme="majorBidi" w:cstheme="majorBidi"/>
        </w:rPr>
        <w:t>Khabat</w:t>
      </w:r>
      <w:proofErr w:type="spellEnd"/>
      <w:r w:rsidRPr="00104BD7">
        <w:rPr>
          <w:rFonts w:asciiTheme="majorBidi" w:hAnsiTheme="majorBidi" w:cstheme="majorBidi"/>
        </w:rPr>
        <w:t xml:space="preserve"> Agricultural Technical Institute (246 m, 36</w:t>
      </w:r>
      <w:r w:rsidRPr="00104BD7">
        <w:rPr>
          <w:rFonts w:asciiTheme="majorBidi" w:hAnsiTheme="majorBidi" w:cstheme="majorBidi"/>
          <w:vertAlign w:val="superscript"/>
        </w:rPr>
        <w:t>0</w:t>
      </w:r>
      <w:r w:rsidRPr="00104BD7">
        <w:rPr>
          <w:rFonts w:asciiTheme="majorBidi" w:hAnsiTheme="majorBidi" w:cstheme="majorBidi"/>
        </w:rPr>
        <w:t>15</w:t>
      </w:r>
      <w:r w:rsidRPr="00104BD7">
        <w:rPr>
          <w:rFonts w:asciiTheme="majorBidi" w:hAnsiTheme="majorBidi" w:cstheme="majorBidi"/>
          <w:vertAlign w:val="superscript"/>
        </w:rPr>
        <w:t>'</w:t>
      </w:r>
      <w:r w:rsidRPr="00104BD7">
        <w:rPr>
          <w:rFonts w:asciiTheme="majorBidi" w:hAnsiTheme="majorBidi" w:cstheme="majorBidi"/>
        </w:rPr>
        <w:t>53.18</w:t>
      </w:r>
      <w:r w:rsidRPr="00104BD7">
        <w:rPr>
          <w:rFonts w:asciiTheme="majorBidi" w:hAnsiTheme="majorBidi" w:cstheme="majorBidi"/>
          <w:vertAlign w:val="superscript"/>
        </w:rPr>
        <w:t>"</w:t>
      </w:r>
      <w:r w:rsidRPr="00104BD7">
        <w:rPr>
          <w:rFonts w:asciiTheme="majorBidi" w:hAnsiTheme="majorBidi" w:cstheme="majorBidi"/>
        </w:rPr>
        <w:t xml:space="preserve"> N – 43</w:t>
      </w:r>
      <w:r w:rsidRPr="00104BD7">
        <w:rPr>
          <w:rFonts w:asciiTheme="majorBidi" w:hAnsiTheme="majorBidi" w:cstheme="majorBidi"/>
          <w:vertAlign w:val="superscript"/>
        </w:rPr>
        <w:t>0</w:t>
      </w:r>
      <w:r w:rsidRPr="00104BD7">
        <w:rPr>
          <w:rFonts w:asciiTheme="majorBidi" w:hAnsiTheme="majorBidi" w:cstheme="majorBidi"/>
        </w:rPr>
        <w:t>39</w:t>
      </w:r>
      <w:r w:rsidRPr="00104BD7">
        <w:rPr>
          <w:rFonts w:asciiTheme="majorBidi" w:hAnsiTheme="majorBidi" w:cstheme="majorBidi"/>
          <w:vertAlign w:val="superscript"/>
        </w:rPr>
        <w:t>'</w:t>
      </w:r>
      <w:r w:rsidRPr="00104BD7">
        <w:rPr>
          <w:rFonts w:asciiTheme="majorBidi" w:hAnsiTheme="majorBidi" w:cstheme="majorBidi"/>
        </w:rPr>
        <w:t>21.28</w:t>
      </w:r>
      <w:r w:rsidRPr="00104BD7">
        <w:rPr>
          <w:rFonts w:asciiTheme="majorBidi" w:hAnsiTheme="majorBidi" w:cstheme="majorBidi"/>
          <w:vertAlign w:val="superscript"/>
        </w:rPr>
        <w:t>"</w:t>
      </w:r>
      <w:r w:rsidRPr="00104BD7">
        <w:rPr>
          <w:rFonts w:asciiTheme="majorBidi" w:hAnsiTheme="majorBidi" w:cstheme="majorBidi"/>
        </w:rPr>
        <w:t xml:space="preserve"> E), 30 km west of Erbil centre, under plastic house conditions during the summer season of 2016 (Figure 1). The experiments were carried out to evaluate the impact of applying different concentrations of sulfuric acid directly to soils on P and certain micronutrients including Fe, Zn, Cu, B and Mn, and its effect on the growth and yield of the Rainbow variety of cucumber. </w:t>
      </w:r>
    </w:p>
    <w:p w:rsidR="00F046FA" w:rsidRDefault="00F046FA" w:rsidP="00EA7180">
      <w:pPr>
        <w:tabs>
          <w:tab w:val="left" w:pos="8246"/>
        </w:tabs>
        <w:jc w:val="center"/>
        <w:rPr>
          <w:lang w:val="en-US"/>
        </w:rPr>
      </w:pPr>
      <w:r>
        <w:rPr>
          <w:noProof/>
          <w:lang w:val="en-US" w:eastAsia="en-US"/>
        </w:rPr>
        <w:lastRenderedPageBreak/>
        <w:drawing>
          <wp:inline distT="0" distB="0" distL="0" distR="0" wp14:anchorId="434B7824" wp14:editId="414CDD70">
            <wp:extent cx="5528931" cy="4263656"/>
            <wp:effectExtent l="0" t="0" r="0" b="3810"/>
            <wp:docPr id="1" name="Picture 1" descr="E:\Field 11\بحث خؤم 7-6-2016\بحثى خؤم  2016 داتاكان\فؤرمم و كتابى بحثى خؤم سى يةم\chart thesis\photoshop m dawd head ma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eld 11\بحث خؤم 7-6-2016\بحثى خؤم  2016 داتاكان\فؤرمم و كتابى بحثى خؤم سى يةم\chart thesis\photoshop m dawd head map\ma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699" r="2403"/>
                    <a:stretch/>
                  </pic:blipFill>
                  <pic:spPr bwMode="auto">
                    <a:xfrm>
                      <a:off x="0" y="0"/>
                      <a:ext cx="5537018" cy="4269892"/>
                    </a:xfrm>
                    <a:prstGeom prst="rect">
                      <a:avLst/>
                    </a:prstGeom>
                    <a:noFill/>
                    <a:ln>
                      <a:noFill/>
                    </a:ln>
                    <a:extLst>
                      <a:ext uri="{53640926-AAD7-44D8-BBD7-CCE9431645EC}">
                        <a14:shadowObscured xmlns:a14="http://schemas.microsoft.com/office/drawing/2010/main"/>
                      </a:ext>
                    </a:extLst>
                  </pic:spPr>
                </pic:pic>
              </a:graphicData>
            </a:graphic>
          </wp:inline>
        </w:drawing>
      </w:r>
    </w:p>
    <w:p w:rsidR="00F046FA" w:rsidRPr="00104BD7" w:rsidRDefault="00F046FA" w:rsidP="00F01586">
      <w:pPr>
        <w:tabs>
          <w:tab w:val="left" w:pos="8246"/>
        </w:tabs>
        <w:rPr>
          <w:lang w:val="en-US"/>
        </w:rPr>
      </w:pPr>
      <w:r w:rsidRPr="00104BD7">
        <w:rPr>
          <w:lang w:val="en-US"/>
        </w:rPr>
        <w:t>Figure1. The experiments location map.</w:t>
      </w:r>
    </w:p>
    <w:p w:rsidR="00F046FA" w:rsidRPr="00104BD7" w:rsidRDefault="00F046FA" w:rsidP="00F01586">
      <w:pPr>
        <w:pStyle w:val="Paragraph"/>
        <w:spacing w:before="100" w:beforeAutospacing="1" w:after="100" w:afterAutospacing="1"/>
        <w:jc w:val="both"/>
        <w:rPr>
          <w:rFonts w:asciiTheme="majorBidi" w:hAnsiTheme="majorBidi" w:cstheme="majorBidi"/>
        </w:rPr>
      </w:pPr>
      <w:r w:rsidRPr="00104BD7">
        <w:rPr>
          <w:rFonts w:asciiTheme="majorBidi" w:hAnsiTheme="majorBidi" w:cstheme="majorBidi"/>
        </w:rPr>
        <w:t>At the site of the plastic houses, the land was prepared through ploughing, harrowing and levelling, and two samples from the site were taken (0-</w:t>
      </w:r>
      <w:smartTag w:uri="urn:schemas-microsoft-com:office:smarttags" w:element="metricconverter">
        <w:smartTagPr>
          <w:attr w:name="ProductID" w:val="30 cm"/>
        </w:smartTagPr>
        <w:r w:rsidRPr="00104BD7">
          <w:rPr>
            <w:rFonts w:asciiTheme="majorBidi" w:hAnsiTheme="majorBidi" w:cstheme="majorBidi"/>
          </w:rPr>
          <w:t>30 cm</w:t>
        </w:r>
      </w:smartTag>
      <w:r w:rsidRPr="00104BD7">
        <w:rPr>
          <w:rFonts w:asciiTheme="majorBidi" w:hAnsiTheme="majorBidi" w:cstheme="majorBidi"/>
        </w:rPr>
        <w:t xml:space="preserve">) to determine some of the chemical and physical properties of the soils under study (Table 1). Next, the experimental sites were shaped into mounds. Every experimental unit included a mound of 4m in length, and ten plants were cultivated in every mound with a spacing of 40cm between plants. Also, </w:t>
      </w:r>
      <w:smartTag w:uri="urn:schemas-microsoft-com:office:smarttags" w:element="metricconverter">
        <w:smartTagPr>
          <w:attr w:name="ProductID" w:val="75 cm"/>
        </w:smartTagPr>
        <w:r w:rsidRPr="00104BD7">
          <w:rPr>
            <w:rFonts w:asciiTheme="majorBidi" w:hAnsiTheme="majorBidi" w:cstheme="majorBidi"/>
          </w:rPr>
          <w:t>75 cm</w:t>
        </w:r>
      </w:smartTag>
      <w:r w:rsidRPr="00104BD7">
        <w:rPr>
          <w:rFonts w:asciiTheme="majorBidi" w:hAnsiTheme="majorBidi" w:cstheme="majorBidi"/>
        </w:rPr>
        <w:t xml:space="preserve"> was left between every experimental unit. Five concentrations of sulfuric acid (0, 0.5, 1, 3, and 5 ml L</w:t>
      </w:r>
      <w:r w:rsidRPr="00104BD7">
        <w:rPr>
          <w:rFonts w:asciiTheme="majorBidi" w:hAnsiTheme="majorBidi" w:cstheme="majorBidi"/>
          <w:vertAlign w:val="superscript"/>
        </w:rPr>
        <w:t>-1</w:t>
      </w:r>
      <w:r w:rsidRPr="00104BD7">
        <w:rPr>
          <w:rFonts w:asciiTheme="majorBidi" w:hAnsiTheme="majorBidi" w:cstheme="majorBidi"/>
        </w:rPr>
        <w:t xml:space="preserve">) were applied into the soil surface for two types of soils. This was determined according to the USDA soil textural classification </w:t>
      </w:r>
      <w:r>
        <w:rPr>
          <w:rFonts w:asciiTheme="majorBidi" w:hAnsiTheme="majorBidi" w:cstheme="majorBidi"/>
          <w:noProof/>
        </w:rPr>
        <w:t>(Groenendyk et al., 2015)</w:t>
      </w:r>
      <w:r w:rsidRPr="00104BD7">
        <w:rPr>
          <w:rFonts w:asciiTheme="majorBidi" w:hAnsiTheme="majorBidi" w:cstheme="majorBidi"/>
        </w:rPr>
        <w:t xml:space="preserve">, including </w:t>
      </w:r>
      <w:proofErr w:type="spellStart"/>
      <w:r w:rsidRPr="00104BD7">
        <w:rPr>
          <w:rFonts w:asciiTheme="majorBidi" w:hAnsiTheme="majorBidi" w:cstheme="majorBidi"/>
        </w:rPr>
        <w:t>Silty</w:t>
      </w:r>
      <w:proofErr w:type="spellEnd"/>
      <w:r w:rsidRPr="00104BD7">
        <w:rPr>
          <w:rFonts w:asciiTheme="majorBidi" w:hAnsiTheme="majorBidi" w:cstheme="majorBidi"/>
        </w:rPr>
        <w:t xml:space="preserve"> Clay Loam </w:t>
      </w:r>
      <w:proofErr w:type="spellStart"/>
      <w:r w:rsidRPr="00104BD7">
        <w:rPr>
          <w:rFonts w:asciiTheme="majorBidi" w:hAnsiTheme="majorBidi" w:cstheme="majorBidi"/>
        </w:rPr>
        <w:t>SiCL</w:t>
      </w:r>
      <w:proofErr w:type="spellEnd"/>
      <w:r w:rsidRPr="00104BD7">
        <w:rPr>
          <w:rFonts w:asciiTheme="majorBidi" w:hAnsiTheme="majorBidi" w:cstheme="majorBidi"/>
        </w:rPr>
        <w:t xml:space="preserve"> (S1) and </w:t>
      </w:r>
      <w:proofErr w:type="spellStart"/>
      <w:r w:rsidRPr="00104BD7">
        <w:rPr>
          <w:rFonts w:asciiTheme="majorBidi" w:hAnsiTheme="majorBidi" w:cstheme="majorBidi"/>
        </w:rPr>
        <w:t>Silty</w:t>
      </w:r>
      <w:proofErr w:type="spellEnd"/>
      <w:r w:rsidRPr="00104BD7">
        <w:rPr>
          <w:rFonts w:asciiTheme="majorBidi" w:hAnsiTheme="majorBidi" w:cstheme="majorBidi"/>
        </w:rPr>
        <w:t xml:space="preserve"> Clay </w:t>
      </w:r>
      <w:proofErr w:type="spellStart"/>
      <w:r w:rsidRPr="00104BD7">
        <w:rPr>
          <w:rFonts w:asciiTheme="majorBidi" w:hAnsiTheme="majorBidi" w:cstheme="majorBidi"/>
        </w:rPr>
        <w:t>SiC</w:t>
      </w:r>
      <w:proofErr w:type="spellEnd"/>
      <w:r w:rsidRPr="00104BD7">
        <w:rPr>
          <w:rFonts w:asciiTheme="majorBidi" w:hAnsiTheme="majorBidi" w:cstheme="majorBidi"/>
        </w:rPr>
        <w:t xml:space="preserve"> (S2), to the </w:t>
      </w:r>
      <w:proofErr w:type="spellStart"/>
      <w:r w:rsidRPr="00104BD7">
        <w:rPr>
          <w:rFonts w:asciiTheme="majorBidi" w:hAnsiTheme="majorBidi" w:cstheme="majorBidi"/>
        </w:rPr>
        <w:t>Grdarasha</w:t>
      </w:r>
      <w:proofErr w:type="spellEnd"/>
      <w:r w:rsidRPr="00104BD7">
        <w:rPr>
          <w:rFonts w:asciiTheme="majorBidi" w:hAnsiTheme="majorBidi" w:cstheme="majorBidi"/>
        </w:rPr>
        <w:t xml:space="preserve"> and </w:t>
      </w:r>
      <w:proofErr w:type="spellStart"/>
      <w:r w:rsidRPr="00104BD7">
        <w:rPr>
          <w:rFonts w:asciiTheme="majorBidi" w:hAnsiTheme="majorBidi" w:cstheme="majorBidi"/>
        </w:rPr>
        <w:t>Khabat</w:t>
      </w:r>
      <w:proofErr w:type="spellEnd"/>
      <w:r w:rsidRPr="00104BD7">
        <w:rPr>
          <w:rFonts w:asciiTheme="majorBidi" w:hAnsiTheme="majorBidi" w:cstheme="majorBidi"/>
        </w:rPr>
        <w:t xml:space="preserve"> soils, respectively. During the experiment, </w:t>
      </w:r>
      <w:r w:rsidRPr="00104BD7">
        <w:rPr>
          <w:rFonts w:asciiTheme="majorBidi" w:hAnsiTheme="majorBidi" w:cstheme="majorBidi"/>
        </w:rPr>
        <w:lastRenderedPageBreak/>
        <w:t xml:space="preserve">the crop was irrigated every two weeks; the total watering was eight times to avoid acid accumulation in the soil. The study took a chemical analysis of the soil at both locations (pH, P, Fe, Zn, Cu, B and Mn). The soils were sampled by end harvesting with an auger drill at three depths (0-10, 10-20, 20-30) cm. Also, the concentration of P, Fe, Zn, Cu, B and Mn in the plant was analysed by sampling the above-ground plant-parts at the end of harvest, in addition to the cucumber yield. Available Fe, Mn, Zn, and Cu contents of the soil samples were extracted with 0.005 M </w:t>
      </w:r>
      <w:proofErr w:type="spellStart"/>
      <w:r w:rsidRPr="00104BD7">
        <w:rPr>
          <w:rFonts w:asciiTheme="majorBidi" w:hAnsiTheme="majorBidi" w:cstheme="majorBidi"/>
        </w:rPr>
        <w:t>diethylenetriamine</w:t>
      </w:r>
      <w:proofErr w:type="spellEnd"/>
      <w:r w:rsidRPr="00104BD7">
        <w:rPr>
          <w:rFonts w:asciiTheme="majorBidi" w:hAnsiTheme="majorBidi" w:cstheme="majorBidi"/>
        </w:rPr>
        <w:t xml:space="preserve"> </w:t>
      </w:r>
      <w:proofErr w:type="spellStart"/>
      <w:r w:rsidRPr="00104BD7">
        <w:rPr>
          <w:rFonts w:asciiTheme="majorBidi" w:hAnsiTheme="majorBidi" w:cstheme="majorBidi"/>
        </w:rPr>
        <w:t>pentaacetic</w:t>
      </w:r>
      <w:proofErr w:type="spellEnd"/>
      <w:r w:rsidRPr="00104BD7">
        <w:rPr>
          <w:rFonts w:asciiTheme="majorBidi" w:hAnsiTheme="majorBidi" w:cstheme="majorBidi"/>
        </w:rPr>
        <w:t xml:space="preserve"> acid + 0.01 M CaCl</w:t>
      </w:r>
      <w:r w:rsidRPr="00104BD7">
        <w:rPr>
          <w:rFonts w:asciiTheme="majorBidi" w:hAnsiTheme="majorBidi" w:cstheme="majorBidi"/>
          <w:vertAlign w:val="subscript"/>
        </w:rPr>
        <w:t>2</w:t>
      </w:r>
      <w:r w:rsidRPr="00104BD7">
        <w:rPr>
          <w:rFonts w:asciiTheme="majorBidi" w:hAnsiTheme="majorBidi" w:cstheme="majorBidi"/>
        </w:rPr>
        <w:t xml:space="preserve"> + 0.1 M </w:t>
      </w:r>
      <w:proofErr w:type="spellStart"/>
      <w:r w:rsidRPr="00104BD7">
        <w:rPr>
          <w:rFonts w:asciiTheme="majorBidi" w:hAnsiTheme="majorBidi" w:cstheme="majorBidi"/>
        </w:rPr>
        <w:t>triethanol</w:t>
      </w:r>
      <w:proofErr w:type="spellEnd"/>
      <w:r w:rsidRPr="00104BD7">
        <w:rPr>
          <w:rFonts w:asciiTheme="majorBidi" w:hAnsiTheme="majorBidi" w:cstheme="majorBidi"/>
        </w:rPr>
        <w:t xml:space="preserve"> amine, and the extractable elements were determined on an atomic absorption spectrophotometer as described by </w:t>
      </w:r>
      <w:r>
        <w:rPr>
          <w:rFonts w:asciiTheme="majorBidi" w:hAnsiTheme="majorBidi" w:cstheme="majorBidi"/>
          <w:noProof/>
        </w:rPr>
        <w:t>Lindsay and Norvell (1978)</w:t>
      </w:r>
      <w:r w:rsidRPr="00104BD7">
        <w:rPr>
          <w:rFonts w:asciiTheme="majorBidi" w:hAnsiTheme="majorBidi" w:cstheme="majorBidi"/>
        </w:rPr>
        <w:t xml:space="preserve">. Furthermore, the plant samples were digested and prepared for total element determination by inductively coupled plasma–atomic emission spectrometry </w:t>
      </w:r>
      <w:r>
        <w:rPr>
          <w:rFonts w:asciiTheme="majorBidi" w:hAnsiTheme="majorBidi" w:cstheme="majorBidi"/>
          <w:noProof/>
        </w:rPr>
        <w:t>(Anderson and Henderson, 1986)</w:t>
      </w:r>
      <w:r w:rsidRPr="00104BD7">
        <w:rPr>
          <w:rFonts w:asciiTheme="majorBidi" w:hAnsiTheme="majorBidi" w:cstheme="majorBidi"/>
        </w:rPr>
        <w:t xml:space="preserve">. </w:t>
      </w:r>
      <w:r w:rsidRPr="00104BD7">
        <w:rPr>
          <w:color w:val="231F20"/>
          <w:lang w:bidi="ar-IQ"/>
        </w:rPr>
        <w:t xml:space="preserve">In addition, the experiments were designed according to Factorial Randomized Completely Block Design (RCBD). </w:t>
      </w:r>
      <w:r w:rsidRPr="00104BD7">
        <w:t>In all cases, Tukey’s H.S.D multiple range tests were applied at (P ≤ 0.05) for comparison between the means of treatments using SPSS 25.0.</w:t>
      </w:r>
    </w:p>
    <w:p w:rsidR="00EA7180" w:rsidRDefault="00EA7180" w:rsidP="00EA7180">
      <w:pPr>
        <w:pStyle w:val="Tabletitle"/>
        <w:spacing w:line="480" w:lineRule="auto"/>
        <w:jc w:val="center"/>
        <w:rPr>
          <w:lang w:val="en-US"/>
        </w:rPr>
      </w:pPr>
    </w:p>
    <w:p w:rsidR="00EA7180" w:rsidRDefault="00EA7180" w:rsidP="00EA7180">
      <w:pPr>
        <w:pStyle w:val="Tabletitle"/>
        <w:spacing w:line="480" w:lineRule="auto"/>
        <w:jc w:val="center"/>
        <w:rPr>
          <w:lang w:val="en-US"/>
        </w:rPr>
      </w:pPr>
    </w:p>
    <w:p w:rsidR="00EA7180" w:rsidRDefault="00EA7180" w:rsidP="00EA7180">
      <w:pPr>
        <w:pStyle w:val="Tabletitle"/>
        <w:spacing w:line="480" w:lineRule="auto"/>
        <w:jc w:val="center"/>
        <w:rPr>
          <w:lang w:val="en-US"/>
        </w:rPr>
      </w:pPr>
    </w:p>
    <w:p w:rsidR="00EA7180" w:rsidRDefault="00EA7180" w:rsidP="00EA7180">
      <w:pPr>
        <w:pStyle w:val="Tabletitle"/>
        <w:spacing w:line="480" w:lineRule="auto"/>
        <w:jc w:val="center"/>
        <w:rPr>
          <w:lang w:val="en-US"/>
        </w:rPr>
      </w:pPr>
    </w:p>
    <w:p w:rsidR="00EA7180" w:rsidRDefault="00EA7180" w:rsidP="00EA7180">
      <w:pPr>
        <w:pStyle w:val="Tabletitle"/>
        <w:spacing w:line="480" w:lineRule="auto"/>
        <w:jc w:val="center"/>
        <w:rPr>
          <w:lang w:val="en-US"/>
        </w:rPr>
      </w:pPr>
    </w:p>
    <w:p w:rsidR="00A066A9" w:rsidRDefault="00A066A9" w:rsidP="00EA7180">
      <w:pPr>
        <w:pStyle w:val="Tabletitle"/>
        <w:spacing w:line="480" w:lineRule="auto"/>
        <w:jc w:val="center"/>
        <w:rPr>
          <w:lang w:val="en-US"/>
        </w:rPr>
      </w:pPr>
    </w:p>
    <w:p w:rsidR="00F046FA" w:rsidRPr="00104BD7" w:rsidRDefault="00F046FA" w:rsidP="00EA7180">
      <w:pPr>
        <w:pStyle w:val="Tabletitle"/>
        <w:spacing w:line="480" w:lineRule="auto"/>
        <w:jc w:val="center"/>
        <w:rPr>
          <w:lang w:val="en-US"/>
        </w:rPr>
      </w:pPr>
      <w:r w:rsidRPr="00104BD7">
        <w:rPr>
          <w:lang w:val="en-US"/>
        </w:rPr>
        <w:lastRenderedPageBreak/>
        <w:t>Table 1. Some physical and chemical properties of two soils before experiment</w:t>
      </w:r>
    </w:p>
    <w:tbl>
      <w:tblPr>
        <w:tblW w:w="8555"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52"/>
        <w:gridCol w:w="425"/>
        <w:gridCol w:w="425"/>
        <w:gridCol w:w="567"/>
        <w:gridCol w:w="567"/>
        <w:gridCol w:w="653"/>
        <w:gridCol w:w="567"/>
        <w:gridCol w:w="567"/>
        <w:gridCol w:w="596"/>
        <w:gridCol w:w="634"/>
        <w:gridCol w:w="651"/>
        <w:gridCol w:w="567"/>
        <w:gridCol w:w="619"/>
        <w:gridCol w:w="374"/>
        <w:gridCol w:w="382"/>
        <w:gridCol w:w="309"/>
      </w:tblGrid>
      <w:tr w:rsidR="00F046FA" w:rsidRPr="00104BD7" w:rsidTr="00F1685F">
        <w:trPr>
          <w:trHeight w:val="247"/>
          <w:jc w:val="center"/>
        </w:trPr>
        <w:tc>
          <w:tcPr>
            <w:tcW w:w="652"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Parameter of</w:t>
            </w:r>
          </w:p>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average soil</w:t>
            </w:r>
          </w:p>
        </w:tc>
        <w:tc>
          <w:tcPr>
            <w:tcW w:w="425"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pH</w:t>
            </w:r>
          </w:p>
        </w:tc>
        <w:tc>
          <w:tcPr>
            <w:tcW w:w="425"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 xml:space="preserve">EC </w:t>
            </w:r>
            <w:proofErr w:type="spellStart"/>
            <w:r w:rsidRPr="00104BD7">
              <w:rPr>
                <w:rFonts w:asciiTheme="majorBidi" w:hAnsiTheme="majorBidi" w:cstheme="majorBidi"/>
                <w:lang w:val="en-US"/>
              </w:rPr>
              <w:t>dS</w:t>
            </w:r>
            <w:proofErr w:type="spellEnd"/>
            <w:r w:rsidRPr="00104BD7">
              <w:rPr>
                <w:rFonts w:asciiTheme="majorBidi" w:hAnsiTheme="majorBidi" w:cstheme="majorBidi"/>
                <w:lang w:val="en-US"/>
              </w:rPr>
              <w:t xml:space="preserve"> m</w:t>
            </w:r>
            <w:r w:rsidRPr="00104BD7">
              <w:rPr>
                <w:rFonts w:asciiTheme="majorBidi" w:hAnsiTheme="majorBidi" w:cstheme="majorBidi"/>
                <w:vertAlign w:val="superscript"/>
                <w:lang w:val="en-US"/>
              </w:rPr>
              <w:t>-1</w:t>
            </w:r>
          </w:p>
        </w:tc>
        <w:tc>
          <w:tcPr>
            <w:tcW w:w="567"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Organic Matter gm kg</w:t>
            </w:r>
            <w:r w:rsidRPr="00104BD7">
              <w:rPr>
                <w:rFonts w:asciiTheme="majorBidi" w:hAnsiTheme="majorBidi" w:cstheme="majorBidi"/>
                <w:vertAlign w:val="superscript"/>
                <w:lang w:val="en-US"/>
              </w:rPr>
              <w:t>-1</w:t>
            </w:r>
          </w:p>
        </w:tc>
        <w:tc>
          <w:tcPr>
            <w:tcW w:w="567"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Total CaCO</w:t>
            </w:r>
            <w:r w:rsidRPr="00104BD7">
              <w:rPr>
                <w:rFonts w:asciiTheme="majorBidi" w:hAnsiTheme="majorBidi" w:cstheme="majorBidi"/>
                <w:vertAlign w:val="subscript"/>
                <w:lang w:val="en-US"/>
              </w:rPr>
              <w:t>3</w:t>
            </w:r>
          </w:p>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gm kg</w:t>
            </w:r>
            <w:r w:rsidRPr="00104BD7">
              <w:rPr>
                <w:rFonts w:asciiTheme="majorBidi" w:hAnsiTheme="majorBidi" w:cstheme="majorBidi"/>
                <w:vertAlign w:val="superscript"/>
                <w:lang w:val="en-US"/>
              </w:rPr>
              <w:t>-1</w:t>
            </w:r>
          </w:p>
        </w:tc>
        <w:tc>
          <w:tcPr>
            <w:tcW w:w="653"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 xml:space="preserve">CEC </w:t>
            </w:r>
            <w:proofErr w:type="spellStart"/>
            <w:r w:rsidRPr="00104BD7">
              <w:rPr>
                <w:rFonts w:asciiTheme="majorBidi" w:hAnsiTheme="majorBidi" w:cstheme="majorBidi"/>
                <w:lang w:val="en-US"/>
              </w:rPr>
              <w:t>cmol</w:t>
            </w:r>
            <w:proofErr w:type="spellEnd"/>
            <w:r w:rsidRPr="00104BD7">
              <w:rPr>
                <w:rFonts w:asciiTheme="majorBidi" w:hAnsiTheme="majorBidi" w:cstheme="majorBidi"/>
                <w:lang w:val="en-US"/>
              </w:rPr>
              <w:t xml:space="preserve"> kg</w:t>
            </w:r>
            <w:r w:rsidRPr="00104BD7">
              <w:rPr>
                <w:rFonts w:asciiTheme="majorBidi" w:hAnsiTheme="majorBidi" w:cstheme="majorBidi"/>
                <w:vertAlign w:val="superscript"/>
                <w:lang w:val="en-US"/>
              </w:rPr>
              <w:t>-1</w:t>
            </w:r>
          </w:p>
        </w:tc>
        <w:tc>
          <w:tcPr>
            <w:tcW w:w="567"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Bulk Density</w:t>
            </w:r>
          </w:p>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Mg m</w:t>
            </w:r>
            <w:r w:rsidRPr="00104BD7">
              <w:rPr>
                <w:rFonts w:asciiTheme="majorBidi" w:hAnsiTheme="majorBidi" w:cstheme="majorBidi"/>
                <w:vertAlign w:val="superscript"/>
                <w:lang w:val="en-US"/>
              </w:rPr>
              <w:t>-3</w:t>
            </w:r>
          </w:p>
        </w:tc>
        <w:tc>
          <w:tcPr>
            <w:tcW w:w="567"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Texture name</w:t>
            </w:r>
          </w:p>
        </w:tc>
        <w:tc>
          <w:tcPr>
            <w:tcW w:w="1881" w:type="dxa"/>
            <w:gridSpan w:val="3"/>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PSD%</w:t>
            </w:r>
          </w:p>
        </w:tc>
        <w:tc>
          <w:tcPr>
            <w:tcW w:w="567"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Fe</w:t>
            </w:r>
          </w:p>
        </w:tc>
        <w:tc>
          <w:tcPr>
            <w:tcW w:w="619" w:type="dxa"/>
            <w:vMerge w:val="restart"/>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Zn</w:t>
            </w:r>
          </w:p>
        </w:tc>
        <w:tc>
          <w:tcPr>
            <w:tcW w:w="374" w:type="dxa"/>
            <w:vMerge w:val="restart"/>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Cu</w:t>
            </w:r>
          </w:p>
        </w:tc>
        <w:tc>
          <w:tcPr>
            <w:tcW w:w="382" w:type="dxa"/>
            <w:vMerge w:val="restart"/>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B</w:t>
            </w:r>
          </w:p>
        </w:tc>
        <w:tc>
          <w:tcPr>
            <w:tcW w:w="309" w:type="dxa"/>
            <w:vMerge w:val="restart"/>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Mn</w:t>
            </w:r>
          </w:p>
        </w:tc>
      </w:tr>
      <w:tr w:rsidR="00F046FA" w:rsidRPr="00104BD7" w:rsidTr="00F1685F">
        <w:trPr>
          <w:cantSplit/>
          <w:trHeight w:val="825"/>
          <w:jc w:val="center"/>
        </w:trPr>
        <w:tc>
          <w:tcPr>
            <w:tcW w:w="652"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425"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425"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67"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67"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653"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67"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67"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96"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Clay</w:t>
            </w:r>
          </w:p>
        </w:tc>
        <w:tc>
          <w:tcPr>
            <w:tcW w:w="634"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Silt</w:t>
            </w:r>
          </w:p>
        </w:tc>
        <w:tc>
          <w:tcPr>
            <w:tcW w:w="651"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Sand</w:t>
            </w:r>
          </w:p>
        </w:tc>
        <w:tc>
          <w:tcPr>
            <w:tcW w:w="567"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619" w:type="dxa"/>
            <w:vMerge/>
            <w:shd w:val="clear" w:color="auto" w:fill="auto"/>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374" w:type="dxa"/>
            <w:vMerge/>
            <w:shd w:val="clear" w:color="auto" w:fill="auto"/>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382" w:type="dxa"/>
            <w:vMerge/>
            <w:shd w:val="clear" w:color="auto" w:fill="auto"/>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309" w:type="dxa"/>
            <w:vMerge/>
            <w:shd w:val="clear" w:color="auto" w:fill="auto"/>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r>
      <w:tr w:rsidR="00F046FA" w:rsidRPr="00104BD7" w:rsidTr="00F1685F">
        <w:trPr>
          <w:cantSplit/>
          <w:trHeight w:val="750"/>
          <w:jc w:val="center"/>
        </w:trPr>
        <w:tc>
          <w:tcPr>
            <w:tcW w:w="652"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425"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425"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67"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67"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653"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67"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67" w:type="dxa"/>
            <w:vMerge/>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96" w:type="dxa"/>
            <w:vMerge/>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634" w:type="dxa"/>
            <w:vMerge/>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651" w:type="dxa"/>
            <w:vMerge/>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2251" w:type="dxa"/>
            <w:gridSpan w:val="5"/>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mg kg</w:t>
            </w:r>
            <w:r w:rsidRPr="00104BD7">
              <w:rPr>
                <w:rFonts w:asciiTheme="majorBidi" w:hAnsiTheme="majorBidi" w:cstheme="majorBidi"/>
                <w:vertAlign w:val="superscript"/>
                <w:lang w:val="en-US"/>
              </w:rPr>
              <w:t>-1</w:t>
            </w:r>
          </w:p>
        </w:tc>
      </w:tr>
      <w:tr w:rsidR="00F046FA" w:rsidRPr="00104BD7" w:rsidTr="00F1685F">
        <w:trPr>
          <w:cantSplit/>
          <w:trHeight w:val="497"/>
          <w:jc w:val="center"/>
        </w:trPr>
        <w:tc>
          <w:tcPr>
            <w:tcW w:w="652"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S1</w:t>
            </w:r>
          </w:p>
        </w:tc>
        <w:tc>
          <w:tcPr>
            <w:tcW w:w="425"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rtl/>
              </w:rPr>
              <w:t>8.10</w:t>
            </w:r>
          </w:p>
        </w:tc>
        <w:tc>
          <w:tcPr>
            <w:tcW w:w="425"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0.60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8.70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340</w:t>
            </w:r>
          </w:p>
        </w:tc>
        <w:tc>
          <w:tcPr>
            <w:tcW w:w="653"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22.20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1.20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proofErr w:type="spellStart"/>
            <w:r w:rsidRPr="00104BD7">
              <w:rPr>
                <w:rFonts w:asciiTheme="majorBidi" w:hAnsiTheme="majorBidi" w:cstheme="majorBidi"/>
                <w:lang w:val="en-US"/>
              </w:rPr>
              <w:t>SiCL</w:t>
            </w:r>
            <w:proofErr w:type="spellEnd"/>
          </w:p>
        </w:tc>
        <w:tc>
          <w:tcPr>
            <w:tcW w:w="596"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30.20</w:t>
            </w:r>
          </w:p>
        </w:tc>
        <w:tc>
          <w:tcPr>
            <w:tcW w:w="634"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57.60</w:t>
            </w:r>
          </w:p>
        </w:tc>
        <w:tc>
          <w:tcPr>
            <w:tcW w:w="651"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12.20</w:t>
            </w:r>
          </w:p>
        </w:tc>
        <w:tc>
          <w:tcPr>
            <w:tcW w:w="567" w:type="dxa"/>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7.50</w:t>
            </w:r>
          </w:p>
        </w:tc>
        <w:tc>
          <w:tcPr>
            <w:tcW w:w="619" w:type="dxa"/>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2.50</w:t>
            </w:r>
          </w:p>
        </w:tc>
        <w:tc>
          <w:tcPr>
            <w:tcW w:w="374" w:type="dxa"/>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1.20</w:t>
            </w:r>
          </w:p>
        </w:tc>
        <w:tc>
          <w:tcPr>
            <w:tcW w:w="382" w:type="dxa"/>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4.54</w:t>
            </w:r>
          </w:p>
        </w:tc>
        <w:tc>
          <w:tcPr>
            <w:tcW w:w="309" w:type="dxa"/>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2.58</w:t>
            </w:r>
          </w:p>
        </w:tc>
      </w:tr>
      <w:tr w:rsidR="00F046FA" w:rsidRPr="00104BD7" w:rsidTr="00F1685F">
        <w:trPr>
          <w:cantSplit/>
          <w:trHeight w:val="534"/>
          <w:jc w:val="center"/>
        </w:trPr>
        <w:tc>
          <w:tcPr>
            <w:tcW w:w="652"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S2</w:t>
            </w:r>
          </w:p>
        </w:tc>
        <w:tc>
          <w:tcPr>
            <w:tcW w:w="425"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7.9</w:t>
            </w:r>
          </w:p>
        </w:tc>
        <w:tc>
          <w:tcPr>
            <w:tcW w:w="425"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1.60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9.20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rtl/>
              </w:rPr>
              <w:t>280</w:t>
            </w:r>
          </w:p>
        </w:tc>
        <w:tc>
          <w:tcPr>
            <w:tcW w:w="653"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24.10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1.40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proofErr w:type="spellStart"/>
            <w:r w:rsidRPr="00104BD7">
              <w:rPr>
                <w:rFonts w:asciiTheme="majorBidi" w:hAnsiTheme="majorBidi" w:cstheme="majorBidi"/>
                <w:lang w:val="en-US"/>
              </w:rPr>
              <w:t>SiC</w:t>
            </w:r>
            <w:proofErr w:type="spellEnd"/>
          </w:p>
        </w:tc>
        <w:tc>
          <w:tcPr>
            <w:tcW w:w="596"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44.30</w:t>
            </w:r>
          </w:p>
        </w:tc>
        <w:tc>
          <w:tcPr>
            <w:tcW w:w="634"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49.30</w:t>
            </w:r>
          </w:p>
        </w:tc>
        <w:tc>
          <w:tcPr>
            <w:tcW w:w="651"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6.40</w:t>
            </w:r>
          </w:p>
        </w:tc>
        <w:tc>
          <w:tcPr>
            <w:tcW w:w="567" w:type="dxa"/>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8.40</w:t>
            </w:r>
          </w:p>
        </w:tc>
        <w:tc>
          <w:tcPr>
            <w:tcW w:w="619" w:type="dxa"/>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3.20</w:t>
            </w:r>
          </w:p>
        </w:tc>
        <w:tc>
          <w:tcPr>
            <w:tcW w:w="374" w:type="dxa"/>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1.10</w:t>
            </w:r>
          </w:p>
        </w:tc>
        <w:tc>
          <w:tcPr>
            <w:tcW w:w="382" w:type="dxa"/>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4.85</w:t>
            </w:r>
          </w:p>
        </w:tc>
        <w:tc>
          <w:tcPr>
            <w:tcW w:w="309" w:type="dxa"/>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2.30</w:t>
            </w:r>
          </w:p>
        </w:tc>
      </w:tr>
      <w:tr w:rsidR="00F046FA" w:rsidRPr="00104BD7" w:rsidTr="00F1685F">
        <w:trPr>
          <w:trHeight w:val="259"/>
          <w:jc w:val="center"/>
        </w:trPr>
        <w:tc>
          <w:tcPr>
            <w:tcW w:w="652"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Parameter of</w:t>
            </w:r>
          </w:p>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average soil</w:t>
            </w:r>
          </w:p>
        </w:tc>
        <w:tc>
          <w:tcPr>
            <w:tcW w:w="3771" w:type="dxa"/>
            <w:gridSpan w:val="7"/>
            <w:shd w:val="clear" w:color="auto" w:fill="auto"/>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 xml:space="preserve">Concentration </w:t>
            </w:r>
            <w:proofErr w:type="spellStart"/>
            <w:r w:rsidRPr="00104BD7">
              <w:rPr>
                <w:rFonts w:asciiTheme="majorBidi" w:hAnsiTheme="majorBidi" w:cstheme="majorBidi"/>
                <w:lang w:val="en-US"/>
              </w:rPr>
              <w:t>mmol</w:t>
            </w:r>
            <w:r w:rsidRPr="00104BD7">
              <w:rPr>
                <w:rFonts w:asciiTheme="majorBidi" w:hAnsiTheme="majorBidi" w:cstheme="majorBidi"/>
                <w:vertAlign w:val="subscript"/>
                <w:lang w:val="en-US"/>
              </w:rPr>
              <w:t>c</w:t>
            </w:r>
            <w:proofErr w:type="spellEnd"/>
            <w:r w:rsidRPr="00104BD7">
              <w:rPr>
                <w:rFonts w:asciiTheme="majorBidi" w:hAnsiTheme="majorBidi" w:cstheme="majorBidi"/>
                <w:lang w:val="en-US"/>
              </w:rPr>
              <w:t xml:space="preserve"> L</w:t>
            </w:r>
            <w:r w:rsidRPr="00104BD7">
              <w:rPr>
                <w:rFonts w:asciiTheme="majorBidi" w:hAnsiTheme="majorBidi" w:cstheme="majorBidi"/>
                <w:vertAlign w:val="superscript"/>
                <w:lang w:val="en-US"/>
              </w:rPr>
              <w:t>-1</w:t>
            </w:r>
          </w:p>
        </w:tc>
        <w:tc>
          <w:tcPr>
            <w:tcW w:w="596" w:type="dxa"/>
            <w:vMerge w:val="restart"/>
            <w:shd w:val="clear" w:color="auto" w:fill="auto"/>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rtl/>
                <w:lang w:bidi="ar-IQ"/>
              </w:rPr>
            </w:pPr>
            <w:r w:rsidRPr="00104BD7">
              <w:rPr>
                <w:rFonts w:asciiTheme="majorBidi" w:hAnsiTheme="majorBidi" w:cstheme="majorBidi"/>
                <w:lang w:val="en-US"/>
              </w:rPr>
              <w:t>P  mg kg</w:t>
            </w:r>
            <w:r w:rsidRPr="00104BD7">
              <w:rPr>
                <w:rFonts w:asciiTheme="majorBidi" w:hAnsiTheme="majorBidi" w:cstheme="majorBidi"/>
                <w:vertAlign w:val="superscript"/>
                <w:lang w:val="en-US"/>
              </w:rPr>
              <w:t>-1</w:t>
            </w:r>
          </w:p>
        </w:tc>
        <w:tc>
          <w:tcPr>
            <w:tcW w:w="634"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N %</w:t>
            </w:r>
          </w:p>
        </w:tc>
        <w:tc>
          <w:tcPr>
            <w:tcW w:w="651"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Mg</w:t>
            </w:r>
            <w:r w:rsidRPr="00104BD7">
              <w:rPr>
                <w:rFonts w:asciiTheme="majorBidi" w:hAnsiTheme="majorBidi" w:cstheme="majorBidi"/>
                <w:vertAlign w:val="superscript"/>
                <w:lang w:val="en-US"/>
              </w:rPr>
              <w:t>2+</w:t>
            </w:r>
            <w:r w:rsidRPr="00104BD7">
              <w:rPr>
                <w:rFonts w:asciiTheme="majorBidi" w:hAnsiTheme="majorBidi" w:cstheme="majorBidi"/>
                <w:lang w:val="en-US"/>
              </w:rPr>
              <w:t>/Ca</w:t>
            </w:r>
            <w:r w:rsidRPr="00104BD7">
              <w:rPr>
                <w:rFonts w:asciiTheme="majorBidi" w:hAnsiTheme="majorBidi" w:cstheme="majorBidi"/>
                <w:vertAlign w:val="superscript"/>
                <w:lang w:val="en-US"/>
              </w:rPr>
              <w:t>2+</w:t>
            </w:r>
          </w:p>
        </w:tc>
        <w:tc>
          <w:tcPr>
            <w:tcW w:w="567"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Na</w:t>
            </w:r>
            <w:r w:rsidRPr="00104BD7">
              <w:rPr>
                <w:rFonts w:asciiTheme="majorBidi" w:hAnsiTheme="majorBidi" w:cstheme="majorBidi"/>
                <w:vertAlign w:val="superscript"/>
                <w:lang w:val="en-US"/>
              </w:rPr>
              <w:t>+</w:t>
            </w:r>
            <w:r w:rsidRPr="00104BD7">
              <w:rPr>
                <w:rFonts w:asciiTheme="majorBidi" w:hAnsiTheme="majorBidi" w:cstheme="majorBidi"/>
                <w:lang w:val="en-US"/>
              </w:rPr>
              <w:t>/Ca</w:t>
            </w:r>
            <w:r w:rsidRPr="00104BD7">
              <w:rPr>
                <w:rFonts w:asciiTheme="majorBidi" w:hAnsiTheme="majorBidi" w:cstheme="majorBidi"/>
                <w:vertAlign w:val="superscript"/>
                <w:lang w:val="en-US"/>
              </w:rPr>
              <w:t>2+</w:t>
            </w:r>
          </w:p>
        </w:tc>
        <w:tc>
          <w:tcPr>
            <w:tcW w:w="619" w:type="dxa"/>
            <w:vMerge w:val="restart"/>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RSC</w:t>
            </w:r>
          </w:p>
        </w:tc>
        <w:tc>
          <w:tcPr>
            <w:tcW w:w="1065" w:type="dxa"/>
            <w:gridSpan w:val="3"/>
            <w:vMerge w:val="restart"/>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SAR</w:t>
            </w:r>
          </w:p>
        </w:tc>
      </w:tr>
      <w:tr w:rsidR="00F046FA" w:rsidRPr="00104BD7" w:rsidTr="00F1685F">
        <w:trPr>
          <w:cantSplit/>
          <w:trHeight w:val="1162"/>
          <w:jc w:val="center"/>
        </w:trPr>
        <w:tc>
          <w:tcPr>
            <w:tcW w:w="652" w:type="dxa"/>
            <w:vMerge/>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425" w:type="dxa"/>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Ca</w:t>
            </w:r>
            <w:r w:rsidRPr="00104BD7">
              <w:rPr>
                <w:rFonts w:asciiTheme="majorBidi" w:hAnsiTheme="majorBidi" w:cstheme="majorBidi"/>
                <w:vertAlign w:val="superscript"/>
                <w:lang w:val="en-US"/>
              </w:rPr>
              <w:t>2+</w:t>
            </w:r>
          </w:p>
        </w:tc>
        <w:tc>
          <w:tcPr>
            <w:tcW w:w="425" w:type="dxa"/>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Mg</w:t>
            </w:r>
            <w:r w:rsidRPr="00104BD7">
              <w:rPr>
                <w:rFonts w:asciiTheme="majorBidi" w:hAnsiTheme="majorBidi" w:cstheme="majorBidi"/>
                <w:vertAlign w:val="superscript"/>
                <w:lang w:val="en-US"/>
              </w:rPr>
              <w:t>2+</w:t>
            </w:r>
          </w:p>
        </w:tc>
        <w:tc>
          <w:tcPr>
            <w:tcW w:w="567" w:type="dxa"/>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Na</w:t>
            </w:r>
            <w:r w:rsidRPr="00104BD7">
              <w:rPr>
                <w:rFonts w:asciiTheme="majorBidi" w:hAnsiTheme="majorBidi" w:cstheme="majorBidi"/>
                <w:vertAlign w:val="superscript"/>
                <w:lang w:val="en-US"/>
              </w:rPr>
              <w:t>+</w:t>
            </w:r>
          </w:p>
        </w:tc>
        <w:tc>
          <w:tcPr>
            <w:tcW w:w="567" w:type="dxa"/>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K</w:t>
            </w:r>
            <w:r w:rsidRPr="00104BD7">
              <w:rPr>
                <w:rFonts w:asciiTheme="majorBidi" w:hAnsiTheme="majorBidi" w:cstheme="majorBidi"/>
                <w:vertAlign w:val="superscript"/>
                <w:lang w:val="en-US"/>
              </w:rPr>
              <w:t>+</w:t>
            </w:r>
          </w:p>
        </w:tc>
        <w:tc>
          <w:tcPr>
            <w:tcW w:w="653" w:type="dxa"/>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Cl</w:t>
            </w:r>
            <w:r w:rsidRPr="00104BD7">
              <w:rPr>
                <w:rFonts w:asciiTheme="majorBidi" w:hAnsiTheme="majorBidi" w:cstheme="majorBidi"/>
                <w:vertAlign w:val="superscript"/>
                <w:lang w:val="en-US"/>
              </w:rPr>
              <w:t>-</w:t>
            </w:r>
          </w:p>
        </w:tc>
        <w:tc>
          <w:tcPr>
            <w:tcW w:w="567" w:type="dxa"/>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HCO</w:t>
            </w:r>
            <w:r w:rsidRPr="00104BD7">
              <w:rPr>
                <w:rFonts w:asciiTheme="majorBidi" w:hAnsiTheme="majorBidi" w:cstheme="majorBidi"/>
                <w:vertAlign w:val="subscript"/>
                <w:lang w:val="en-US"/>
              </w:rPr>
              <w:t>3</w:t>
            </w:r>
            <w:r w:rsidRPr="00104BD7">
              <w:rPr>
                <w:rFonts w:asciiTheme="majorBidi" w:hAnsiTheme="majorBidi" w:cstheme="majorBidi"/>
                <w:vertAlign w:val="superscript"/>
                <w:lang w:val="en-US"/>
              </w:rPr>
              <w:t>-</w:t>
            </w:r>
          </w:p>
        </w:tc>
        <w:tc>
          <w:tcPr>
            <w:tcW w:w="567" w:type="dxa"/>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SO</w:t>
            </w:r>
            <w:r w:rsidRPr="00104BD7">
              <w:rPr>
                <w:rFonts w:asciiTheme="majorBidi" w:hAnsiTheme="majorBidi" w:cstheme="majorBidi"/>
                <w:vertAlign w:val="subscript"/>
                <w:lang w:val="en-US"/>
              </w:rPr>
              <w:t>4</w:t>
            </w:r>
            <w:r w:rsidRPr="00104BD7">
              <w:rPr>
                <w:rFonts w:asciiTheme="majorBidi" w:hAnsiTheme="majorBidi" w:cstheme="majorBidi"/>
                <w:vertAlign w:val="superscript"/>
                <w:lang w:val="en-US"/>
              </w:rPr>
              <w:t>2-</w:t>
            </w:r>
          </w:p>
        </w:tc>
        <w:tc>
          <w:tcPr>
            <w:tcW w:w="596" w:type="dxa"/>
            <w:vMerge/>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rtl/>
              </w:rPr>
            </w:pPr>
          </w:p>
        </w:tc>
        <w:tc>
          <w:tcPr>
            <w:tcW w:w="634" w:type="dxa"/>
            <w:vMerge/>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651" w:type="dxa"/>
            <w:vMerge/>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567" w:type="dxa"/>
            <w:vMerge/>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619" w:type="dxa"/>
            <w:vMerge/>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c>
          <w:tcPr>
            <w:tcW w:w="1065" w:type="dxa"/>
            <w:gridSpan w:val="3"/>
            <w:vMerge/>
            <w:shd w:val="clear" w:color="auto" w:fill="auto"/>
            <w:tcMar>
              <w:left w:w="0" w:type="dxa"/>
              <w:right w:w="0" w:type="dxa"/>
            </w:tcMar>
            <w:textDirection w:val="btL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p>
        </w:tc>
      </w:tr>
      <w:tr w:rsidR="00F046FA" w:rsidRPr="00104BD7" w:rsidTr="00F1685F">
        <w:trPr>
          <w:cantSplit/>
          <w:trHeight w:val="240"/>
          <w:jc w:val="center"/>
        </w:trPr>
        <w:tc>
          <w:tcPr>
            <w:tcW w:w="652"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S1</w:t>
            </w:r>
          </w:p>
        </w:tc>
        <w:tc>
          <w:tcPr>
            <w:tcW w:w="425"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2.75</w:t>
            </w:r>
          </w:p>
        </w:tc>
        <w:tc>
          <w:tcPr>
            <w:tcW w:w="425"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1.92</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1.39</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0.12</w:t>
            </w:r>
          </w:p>
        </w:tc>
        <w:tc>
          <w:tcPr>
            <w:tcW w:w="653"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1.20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2.08</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2.85</w:t>
            </w:r>
          </w:p>
        </w:tc>
        <w:tc>
          <w:tcPr>
            <w:tcW w:w="596"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4.15</w:t>
            </w:r>
          </w:p>
        </w:tc>
        <w:tc>
          <w:tcPr>
            <w:tcW w:w="634"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0.16</w:t>
            </w:r>
          </w:p>
        </w:tc>
        <w:tc>
          <w:tcPr>
            <w:tcW w:w="651"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0.69</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0.50</w:t>
            </w:r>
          </w:p>
        </w:tc>
        <w:tc>
          <w:tcPr>
            <w:tcW w:w="619"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-3.59</w:t>
            </w:r>
          </w:p>
        </w:tc>
        <w:tc>
          <w:tcPr>
            <w:tcW w:w="1065" w:type="dxa"/>
            <w:gridSpan w:val="3"/>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0.91</w:t>
            </w:r>
          </w:p>
        </w:tc>
      </w:tr>
      <w:tr w:rsidR="00F046FA" w:rsidRPr="00104BD7" w:rsidTr="00F1685F">
        <w:trPr>
          <w:cantSplit/>
          <w:trHeight w:val="240"/>
          <w:jc w:val="center"/>
        </w:trPr>
        <w:tc>
          <w:tcPr>
            <w:tcW w:w="652"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S2</w:t>
            </w:r>
          </w:p>
        </w:tc>
        <w:tc>
          <w:tcPr>
            <w:tcW w:w="425"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6.28</w:t>
            </w:r>
          </w:p>
        </w:tc>
        <w:tc>
          <w:tcPr>
            <w:tcW w:w="425"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3.80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4.08</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0.14</w:t>
            </w:r>
          </w:p>
        </w:tc>
        <w:tc>
          <w:tcPr>
            <w:tcW w:w="653"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1.28</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4.23</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8.10</w:t>
            </w:r>
          </w:p>
        </w:tc>
        <w:tc>
          <w:tcPr>
            <w:tcW w:w="596"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rtl/>
              </w:rPr>
            </w:pPr>
            <w:r w:rsidRPr="00104BD7">
              <w:rPr>
                <w:rFonts w:asciiTheme="majorBidi" w:hAnsiTheme="majorBidi" w:cstheme="majorBidi"/>
                <w:lang w:val="en-US"/>
              </w:rPr>
              <w:t>7.80</w:t>
            </w:r>
          </w:p>
        </w:tc>
        <w:tc>
          <w:tcPr>
            <w:tcW w:w="634"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0.20</w:t>
            </w:r>
          </w:p>
        </w:tc>
        <w:tc>
          <w:tcPr>
            <w:tcW w:w="651"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0.60</w:t>
            </w:r>
          </w:p>
        </w:tc>
        <w:tc>
          <w:tcPr>
            <w:tcW w:w="567"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0.65</w:t>
            </w:r>
          </w:p>
        </w:tc>
        <w:tc>
          <w:tcPr>
            <w:tcW w:w="619" w:type="dxa"/>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-5.85</w:t>
            </w:r>
          </w:p>
        </w:tc>
        <w:tc>
          <w:tcPr>
            <w:tcW w:w="1065" w:type="dxa"/>
            <w:gridSpan w:val="3"/>
            <w:shd w:val="clear" w:color="auto" w:fill="auto"/>
            <w:tcMar>
              <w:left w:w="0" w:type="dxa"/>
              <w:right w:w="0" w:type="dxa"/>
            </w:tcMar>
            <w:vAlign w:val="center"/>
          </w:tcPr>
          <w:p w:rsidR="00F046FA" w:rsidRPr="00104BD7" w:rsidRDefault="00F046FA" w:rsidP="00EA7180">
            <w:pPr>
              <w:pStyle w:val="Tabletitle"/>
              <w:spacing w:before="0" w:line="240" w:lineRule="auto"/>
              <w:jc w:val="center"/>
              <w:rPr>
                <w:rFonts w:asciiTheme="majorBidi" w:hAnsiTheme="majorBidi" w:cstheme="majorBidi"/>
                <w:lang w:val="en-US"/>
              </w:rPr>
            </w:pPr>
            <w:r w:rsidRPr="00104BD7">
              <w:rPr>
                <w:rFonts w:asciiTheme="majorBidi" w:hAnsiTheme="majorBidi" w:cstheme="majorBidi"/>
                <w:lang w:val="en-US"/>
              </w:rPr>
              <w:t>1.82</w:t>
            </w:r>
          </w:p>
        </w:tc>
      </w:tr>
    </w:tbl>
    <w:p w:rsidR="00F046FA" w:rsidRPr="00104BD7" w:rsidRDefault="00F046FA" w:rsidP="00EA7180">
      <w:pPr>
        <w:pStyle w:val="Tabletitle"/>
        <w:spacing w:before="0" w:line="480" w:lineRule="auto"/>
        <w:jc w:val="center"/>
        <w:rPr>
          <w:lang w:val="en-US"/>
        </w:rPr>
      </w:pPr>
      <w:r w:rsidRPr="00104BD7">
        <w:rPr>
          <w:lang w:val="en-US"/>
        </w:rPr>
        <w:t>EC (Electrical conductivity), CEC (Cation Exchange Capacity) S1 (Silty Clay Loam), S2 (Silty Clay), RSC (Residual sodium carbonates), SAR (Sodium adsorption ratio).</w:t>
      </w:r>
    </w:p>
    <w:p w:rsidR="00140B15" w:rsidRDefault="00140B15" w:rsidP="00EA7180">
      <w:pPr>
        <w:rPr>
          <w:rFonts w:asciiTheme="majorBidi" w:hAnsiTheme="majorBidi" w:cstheme="majorBidi"/>
          <w:b/>
          <w:bCs/>
        </w:rPr>
      </w:pPr>
    </w:p>
    <w:p w:rsidR="00F046FA" w:rsidRPr="00104BD7" w:rsidRDefault="00F046FA" w:rsidP="00EA7180">
      <w:pPr>
        <w:rPr>
          <w:rFonts w:asciiTheme="majorBidi" w:hAnsiTheme="majorBidi" w:cstheme="majorBidi"/>
          <w:b/>
          <w:bCs/>
        </w:rPr>
      </w:pPr>
      <w:r w:rsidRPr="00104BD7">
        <w:rPr>
          <w:rFonts w:asciiTheme="majorBidi" w:hAnsiTheme="majorBidi" w:cstheme="majorBidi"/>
          <w:b/>
          <w:bCs/>
        </w:rPr>
        <w:t xml:space="preserve">Results </w:t>
      </w:r>
    </w:p>
    <w:p w:rsidR="00140B15" w:rsidRDefault="00F046FA" w:rsidP="00140B15">
      <w:pPr>
        <w:rPr>
          <w:rFonts w:asciiTheme="majorBidi" w:hAnsiTheme="majorBidi" w:cstheme="majorBidi"/>
          <w:b/>
          <w:bCs/>
        </w:rPr>
      </w:pPr>
      <w:r w:rsidRPr="00DE5B87">
        <w:rPr>
          <w:rFonts w:asciiTheme="majorBidi" w:hAnsiTheme="majorBidi" w:cstheme="majorBidi"/>
          <w:b/>
          <w:bCs/>
        </w:rPr>
        <w:t>Soil Properties</w:t>
      </w:r>
      <w:r w:rsidR="00140B15">
        <w:rPr>
          <w:rFonts w:asciiTheme="majorBidi" w:hAnsiTheme="majorBidi" w:cstheme="majorBidi"/>
          <w:b/>
          <w:bCs/>
        </w:rPr>
        <w:t xml:space="preserve"> </w:t>
      </w:r>
    </w:p>
    <w:p w:rsidR="00A066A9" w:rsidRPr="00140B15" w:rsidRDefault="00F046FA" w:rsidP="00F01586">
      <w:pPr>
        <w:jc w:val="both"/>
        <w:rPr>
          <w:rFonts w:asciiTheme="majorBidi" w:hAnsiTheme="majorBidi" w:cstheme="majorBidi"/>
          <w:b/>
          <w:bCs/>
          <w:lang w:val="en-US"/>
        </w:rPr>
      </w:pPr>
      <w:r w:rsidRPr="00104BD7">
        <w:t>The results showed the significant effects of sulfuric acid levels at the end of the growing season for both soils at different soil depths in reducing pH in the soil solution. The fourth concentration of sulfuric acid and a 0-10 cm soil depth had a greater decrease of soil pH value compared to other the treatments. As a result, the availability of phosphorus was primarily increased, in particular, by a 5ml treatment of sulfuric acid and 20-30 cm depths for both soils (Figure 2).</w:t>
      </w:r>
    </w:p>
    <w:p w:rsidR="00A066A9" w:rsidRDefault="00A066A9" w:rsidP="00A066A9">
      <w:pPr>
        <w:pStyle w:val="Tabletitle"/>
        <w:spacing w:before="0" w:line="480" w:lineRule="auto"/>
        <w:jc w:val="center"/>
        <w:rPr>
          <w:sz w:val="20"/>
          <w:szCs w:val="20"/>
          <w:lang w:val="en-US"/>
        </w:rPr>
      </w:pPr>
      <w:r>
        <w:rPr>
          <w:noProof/>
          <w:sz w:val="20"/>
          <w:szCs w:val="20"/>
          <w:lang w:val="en-US" w:eastAsia="en-US"/>
        </w:rPr>
        <w:lastRenderedPageBreak/>
        <w:drawing>
          <wp:inline distT="0" distB="0" distL="0" distR="0" wp14:anchorId="0CE848EB" wp14:editId="46422188">
            <wp:extent cx="5238750" cy="4333875"/>
            <wp:effectExtent l="0" t="0" r="0" b="9525"/>
            <wp:docPr id="8" name="Picture 8" descr="E:\Field 11\بحث خؤم 7-6-2016\بحثى خؤم  2016 داتاكان\فؤرمم و كتابى بحثى خؤم سى يةم\chart thesis\photoshop m dawd head map\ph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eld 11\بحث خؤم 7-6-2016\بحثى خؤم  2016 داتاكان\فؤرمم و كتابى بحثى خؤم سى يةم\chart thesis\photoshop m dawd head map\ph P.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49" r="2957"/>
                    <a:stretch/>
                  </pic:blipFill>
                  <pic:spPr bwMode="auto">
                    <a:xfrm>
                      <a:off x="0" y="0"/>
                      <a:ext cx="5238750" cy="4333875"/>
                    </a:xfrm>
                    <a:prstGeom prst="rect">
                      <a:avLst/>
                    </a:prstGeom>
                    <a:noFill/>
                    <a:ln>
                      <a:noFill/>
                    </a:ln>
                    <a:extLst>
                      <a:ext uri="{53640926-AAD7-44D8-BBD7-CCE9431645EC}">
                        <a14:shadowObscured xmlns:a14="http://schemas.microsoft.com/office/drawing/2010/main"/>
                      </a:ext>
                    </a:extLst>
                  </pic:spPr>
                </pic:pic>
              </a:graphicData>
            </a:graphic>
          </wp:inline>
        </w:drawing>
      </w:r>
    </w:p>
    <w:p w:rsidR="00140B15" w:rsidRDefault="00A066A9" w:rsidP="00F01586">
      <w:pPr>
        <w:pStyle w:val="Tabletitle"/>
        <w:spacing w:before="0" w:after="240" w:line="480" w:lineRule="auto"/>
        <w:rPr>
          <w:lang w:val="en-US"/>
        </w:rPr>
      </w:pPr>
      <w:r w:rsidRPr="00104BD7">
        <w:rPr>
          <w:lang w:val="en-US"/>
        </w:rPr>
        <w:t>Figure 2. Effect of sulfuric acid concentrations on pH and phosphorus availability in two different soils and three depths.</w:t>
      </w:r>
      <w:r w:rsidR="00140B15">
        <w:rPr>
          <w:lang w:val="en-US"/>
        </w:rPr>
        <w:t xml:space="preserve"> </w:t>
      </w:r>
    </w:p>
    <w:p w:rsidR="00F046FA" w:rsidRPr="00140B15" w:rsidRDefault="00F046FA" w:rsidP="00140B15">
      <w:pPr>
        <w:pStyle w:val="Tabletitle"/>
        <w:spacing w:before="0" w:line="480" w:lineRule="auto"/>
        <w:jc w:val="both"/>
        <w:rPr>
          <w:lang w:val="en-US"/>
        </w:rPr>
      </w:pPr>
      <w:r w:rsidRPr="001C773A">
        <w:t xml:space="preserve">Furthermore, the maximum concentration of micronutrients (Fe, Zn, Cu, B and Mn) was obtained by the fourth concentration of sulfuric acid and the third depth of soil in both experiments compared to other treatments. On the other hand, better results for the concentration of micronutrients was obtained in </w:t>
      </w:r>
      <w:proofErr w:type="spellStart"/>
      <w:r w:rsidRPr="001C773A">
        <w:t>Khabat</w:t>
      </w:r>
      <w:proofErr w:type="spellEnd"/>
      <w:r w:rsidRPr="001C773A">
        <w:t xml:space="preserve"> soils due to the high content of clay particles, particularly in the fourth concentration of the sulfuric acid and the third depth of the soil (Figure 3).</w:t>
      </w:r>
    </w:p>
    <w:p w:rsidR="00A066A9" w:rsidRDefault="00A066A9" w:rsidP="00A066A9">
      <w:pPr>
        <w:pStyle w:val="Tabletitle"/>
        <w:spacing w:before="0" w:line="480" w:lineRule="auto"/>
        <w:jc w:val="both"/>
        <w:rPr>
          <w:lang w:val="en-US"/>
        </w:rPr>
      </w:pPr>
      <w:r>
        <w:rPr>
          <w:noProof/>
          <w:lang w:val="en-US" w:eastAsia="en-US"/>
        </w:rPr>
        <w:lastRenderedPageBreak/>
        <w:drawing>
          <wp:inline distT="0" distB="0" distL="0" distR="0" wp14:anchorId="7C2F7F7A" wp14:editId="453A7676">
            <wp:extent cx="5381625" cy="7477125"/>
            <wp:effectExtent l="0" t="0" r="9525" b="9525"/>
            <wp:docPr id="11" name="Picture 11" descr="E:\Field 11\بحث خؤم 7-6-2016\بحثى خؤم  2016 داتاكان\فؤرمم و كتابى بحثى خؤم سى يةم\chart thesis\photoshop m dawd head map\soil 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eld 11\بحث خؤم 7-6-2016\بحثى خؤم  2016 داتاكان\فؤرمم و كتابى بحثى خؤم سى يةم\chart thesis\photoshop m dawd head map\soil element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696" r="2185"/>
                    <a:stretch/>
                  </pic:blipFill>
                  <pic:spPr bwMode="auto">
                    <a:xfrm>
                      <a:off x="0" y="0"/>
                      <a:ext cx="5388998" cy="7487369"/>
                    </a:xfrm>
                    <a:prstGeom prst="rect">
                      <a:avLst/>
                    </a:prstGeom>
                    <a:noFill/>
                    <a:ln>
                      <a:noFill/>
                    </a:ln>
                    <a:extLst>
                      <a:ext uri="{53640926-AAD7-44D8-BBD7-CCE9431645EC}">
                        <a14:shadowObscured xmlns:a14="http://schemas.microsoft.com/office/drawing/2010/main"/>
                      </a:ext>
                    </a:extLst>
                  </pic:spPr>
                </pic:pic>
              </a:graphicData>
            </a:graphic>
          </wp:inline>
        </w:drawing>
      </w:r>
    </w:p>
    <w:p w:rsidR="00A066A9" w:rsidRDefault="00A066A9" w:rsidP="00F01586">
      <w:pPr>
        <w:pStyle w:val="Tabletitle"/>
        <w:spacing w:before="0" w:line="480" w:lineRule="auto"/>
        <w:jc w:val="both"/>
        <w:rPr>
          <w:lang w:val="en-US"/>
        </w:rPr>
      </w:pPr>
      <w:r w:rsidRPr="00104BD7">
        <w:rPr>
          <w:lang w:val="en-US"/>
        </w:rPr>
        <w:t>Figure 3. Effect of different sulfuric concentrations on micronutrient availability in two soils.</w:t>
      </w:r>
    </w:p>
    <w:p w:rsidR="00F046FA" w:rsidRPr="00902055" w:rsidRDefault="00F046FA" w:rsidP="00EA7180">
      <w:pPr>
        <w:pStyle w:val="Heading2"/>
        <w:spacing w:line="480" w:lineRule="auto"/>
        <w:rPr>
          <w:i w:val="0"/>
          <w:iCs w:val="0"/>
        </w:rPr>
      </w:pPr>
      <w:r w:rsidRPr="00902055">
        <w:rPr>
          <w:i w:val="0"/>
          <w:iCs w:val="0"/>
        </w:rPr>
        <w:lastRenderedPageBreak/>
        <w:t>Element concentration in plant tissue and cucumber yield</w:t>
      </w:r>
    </w:p>
    <w:p w:rsidR="00F046FA" w:rsidRDefault="00F046FA" w:rsidP="00F01586">
      <w:pPr>
        <w:pStyle w:val="Newparagraph"/>
        <w:ind w:firstLine="0"/>
        <w:jc w:val="both"/>
      </w:pPr>
      <w:r w:rsidRPr="00B37B12">
        <w:rPr>
          <w:rFonts w:asciiTheme="majorBidi" w:hAnsiTheme="majorBidi" w:cstheme="majorBidi"/>
        </w:rPr>
        <w:t>The best result for phosphorus, Fe, Zn, Mn, Cu and B in the cucumber stem after harvesting was obtained by the fourth concentration (3 ml L</w:t>
      </w:r>
      <w:r w:rsidRPr="00B37B12">
        <w:rPr>
          <w:rFonts w:asciiTheme="majorBidi" w:hAnsiTheme="majorBidi" w:cstheme="majorBidi"/>
          <w:vertAlign w:val="superscript"/>
        </w:rPr>
        <w:t>-1</w:t>
      </w:r>
      <w:r w:rsidRPr="00B37B12">
        <w:rPr>
          <w:rFonts w:asciiTheme="majorBidi" w:hAnsiTheme="majorBidi" w:cstheme="majorBidi"/>
        </w:rPr>
        <w:t xml:space="preserve">), as this concentration showed statistically significant (P </w:t>
      </w:r>
      <w:r w:rsidRPr="00B37B12">
        <w:rPr>
          <w:rFonts w:asciiTheme="majorBidi" w:hAnsiTheme="majorBidi" w:cstheme="majorBidi"/>
          <w:lang w:bidi="ar-IQ"/>
        </w:rPr>
        <w:t>≤</w:t>
      </w:r>
      <w:r w:rsidRPr="00B37B12">
        <w:rPr>
          <w:rFonts w:asciiTheme="majorBidi" w:hAnsiTheme="majorBidi" w:cstheme="majorBidi"/>
        </w:rPr>
        <w:t xml:space="preserve"> 0.05) effects in increasing the number of elements in the plant stem tissues. The amount of Cu, Fe, B, Mn and </w:t>
      </w:r>
      <w:r>
        <w:rPr>
          <w:rFonts w:asciiTheme="majorBidi" w:hAnsiTheme="majorBidi" w:cstheme="majorBidi"/>
        </w:rPr>
        <w:t>Zn in the leaves increased (Figure</w:t>
      </w:r>
      <w:r w:rsidRPr="00B37B12">
        <w:rPr>
          <w:rFonts w:asciiTheme="majorBidi" w:hAnsiTheme="majorBidi" w:cstheme="majorBidi"/>
        </w:rPr>
        <w:t xml:space="preserve"> 4) with a decrease in pH in treatments, particularly the fourth factor </w:t>
      </w:r>
      <w:r>
        <w:rPr>
          <w:rFonts w:asciiTheme="majorBidi" w:hAnsiTheme="majorBidi" w:cstheme="majorBidi"/>
        </w:rPr>
        <w:t>as well as P concentration (Figure</w:t>
      </w:r>
      <w:r w:rsidRPr="00B37B12">
        <w:rPr>
          <w:rFonts w:asciiTheme="majorBidi" w:hAnsiTheme="majorBidi" w:cstheme="majorBidi"/>
        </w:rPr>
        <w:t xml:space="preserve"> 5). </w:t>
      </w:r>
    </w:p>
    <w:p w:rsidR="00A066A9" w:rsidRDefault="00A066A9" w:rsidP="00A066A9">
      <w:pPr>
        <w:pStyle w:val="Tabletitle"/>
        <w:spacing w:line="480" w:lineRule="auto"/>
        <w:jc w:val="center"/>
        <w:rPr>
          <w:lang w:val="en-US"/>
        </w:rPr>
      </w:pPr>
      <w:r>
        <w:rPr>
          <w:noProof/>
          <w:lang w:val="en-US" w:eastAsia="en-US"/>
        </w:rPr>
        <w:drawing>
          <wp:inline distT="0" distB="0" distL="0" distR="0" wp14:anchorId="77940E74" wp14:editId="05FB8143">
            <wp:extent cx="5381625" cy="3962400"/>
            <wp:effectExtent l="0" t="0" r="9525" b="0"/>
            <wp:docPr id="13" name="Picture 13" descr="E:\Field 11\بحث خؤم 7-6-2016\بحثى خؤم  2016 داتاكان\فؤرمم و كتابى بحثى خؤم سى يةم\chart thesis\photoshop m dawd head map\plant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eld 11\بحث خؤم 7-6-2016\بحثى خؤم  2016 داتاكان\فؤرمم و كتابى بحثى خؤم سى يةم\chart thesis\photoshop m dawd head map\plant elemen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8" r="2958" b="3070"/>
                    <a:stretch/>
                  </pic:blipFill>
                  <pic:spPr bwMode="auto">
                    <a:xfrm>
                      <a:off x="0" y="0"/>
                      <a:ext cx="5390241" cy="3968744"/>
                    </a:xfrm>
                    <a:prstGeom prst="rect">
                      <a:avLst/>
                    </a:prstGeom>
                    <a:noFill/>
                    <a:ln>
                      <a:noFill/>
                    </a:ln>
                    <a:extLst>
                      <a:ext uri="{53640926-AAD7-44D8-BBD7-CCE9431645EC}">
                        <a14:shadowObscured xmlns:a14="http://schemas.microsoft.com/office/drawing/2010/main"/>
                      </a:ext>
                    </a:extLst>
                  </pic:spPr>
                </pic:pic>
              </a:graphicData>
            </a:graphic>
          </wp:inline>
        </w:drawing>
      </w:r>
    </w:p>
    <w:p w:rsidR="00A066A9" w:rsidRDefault="00A066A9" w:rsidP="00F01586">
      <w:pPr>
        <w:pStyle w:val="Tabletitle"/>
        <w:spacing w:before="0" w:line="480" w:lineRule="auto"/>
        <w:jc w:val="both"/>
        <w:rPr>
          <w:lang w:val="en-US"/>
        </w:rPr>
      </w:pPr>
      <w:r w:rsidRPr="00104BD7">
        <w:rPr>
          <w:lang w:val="en-US"/>
        </w:rPr>
        <w:t xml:space="preserve">Figure </w:t>
      </w:r>
      <w:r w:rsidR="000F7833">
        <w:rPr>
          <w:lang w:val="en-US"/>
        </w:rPr>
        <w:t>4</w:t>
      </w:r>
      <w:r w:rsidRPr="00104BD7">
        <w:rPr>
          <w:lang w:val="en-US"/>
        </w:rPr>
        <w:t>. Response of micronutrients in plant tissues by different concentrations of sulfuric acid in two soils.</w:t>
      </w:r>
    </w:p>
    <w:p w:rsidR="00A066A9" w:rsidRDefault="00A066A9" w:rsidP="00A066A9">
      <w:pPr>
        <w:pStyle w:val="Tabletitle"/>
        <w:spacing w:before="0" w:line="480" w:lineRule="auto"/>
        <w:jc w:val="center"/>
        <w:rPr>
          <w:lang w:val="en-US"/>
        </w:rPr>
      </w:pPr>
      <w:r>
        <w:rPr>
          <w:noProof/>
          <w:lang w:val="en-US" w:eastAsia="en-US"/>
        </w:rPr>
        <w:lastRenderedPageBreak/>
        <w:drawing>
          <wp:inline distT="0" distB="0" distL="0" distR="0" wp14:anchorId="4B463A02" wp14:editId="602C4C32">
            <wp:extent cx="5603359" cy="4019107"/>
            <wp:effectExtent l="0" t="0" r="0" b="635"/>
            <wp:docPr id="14" name="Picture 14" descr="E:\Field 11\بحث خؤم 7-6-2016\بحثى خؤم  2016 داتاكان\فؤرمم و كتابى بحثى خؤم سى يةم\chart thesis\photoshop m dawd head m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ield 11\بحث خؤم 7-6-2016\بحثى خؤم  2016 داتاكان\فؤرمم و كتابى بحثى خؤم سى يةم\chart thesis\photoshop m dawd head map\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851" t="5769" r="3774" b="2644"/>
                    <a:stretch/>
                  </pic:blipFill>
                  <pic:spPr bwMode="auto">
                    <a:xfrm>
                      <a:off x="0" y="0"/>
                      <a:ext cx="5613624" cy="4026470"/>
                    </a:xfrm>
                    <a:prstGeom prst="rect">
                      <a:avLst/>
                    </a:prstGeom>
                    <a:noFill/>
                    <a:ln>
                      <a:noFill/>
                    </a:ln>
                    <a:extLst>
                      <a:ext uri="{53640926-AAD7-44D8-BBD7-CCE9431645EC}">
                        <a14:shadowObscured xmlns:a14="http://schemas.microsoft.com/office/drawing/2010/main"/>
                      </a:ext>
                    </a:extLst>
                  </pic:spPr>
                </pic:pic>
              </a:graphicData>
            </a:graphic>
          </wp:inline>
        </w:drawing>
      </w:r>
    </w:p>
    <w:p w:rsidR="00A066A9" w:rsidRDefault="00A066A9" w:rsidP="00F01586">
      <w:pPr>
        <w:pStyle w:val="Tabletitle"/>
        <w:spacing w:before="0" w:line="480" w:lineRule="auto"/>
        <w:jc w:val="both"/>
        <w:rPr>
          <w:lang w:val="en-US"/>
        </w:rPr>
      </w:pPr>
      <w:r w:rsidRPr="00104BD7">
        <w:rPr>
          <w:lang w:val="en-US"/>
        </w:rPr>
        <w:t xml:space="preserve">Figure </w:t>
      </w:r>
      <w:r w:rsidR="000F7833">
        <w:rPr>
          <w:lang w:val="en-US"/>
        </w:rPr>
        <w:t>5</w:t>
      </w:r>
      <w:r w:rsidRPr="00104BD7">
        <w:rPr>
          <w:lang w:val="en-US"/>
        </w:rPr>
        <w:t>. Response phosphorus in plant tissues by different concentrations of sulfuric acid in two soils.</w:t>
      </w:r>
    </w:p>
    <w:p w:rsidR="00140B15" w:rsidRDefault="00140B15" w:rsidP="00140B15">
      <w:pPr>
        <w:rPr>
          <w:lang w:val="en-US"/>
        </w:rPr>
      </w:pPr>
    </w:p>
    <w:p w:rsidR="00140B15" w:rsidRPr="00140B15" w:rsidRDefault="00140B15" w:rsidP="00F01586">
      <w:pPr>
        <w:jc w:val="both"/>
      </w:pPr>
      <w:r w:rsidRPr="00B37B12">
        <w:rPr>
          <w:rFonts w:asciiTheme="majorBidi" w:hAnsiTheme="majorBidi" w:cstheme="majorBidi"/>
        </w:rPr>
        <w:t xml:space="preserve">In addition, the fourth concentration of </w:t>
      </w:r>
      <w:proofErr w:type="spellStart"/>
      <w:r w:rsidRPr="00B37B12">
        <w:rPr>
          <w:rFonts w:asciiTheme="majorBidi" w:hAnsiTheme="majorBidi" w:cstheme="majorBidi"/>
        </w:rPr>
        <w:t>sulfuric</w:t>
      </w:r>
      <w:proofErr w:type="spellEnd"/>
      <w:r w:rsidRPr="00B37B12">
        <w:rPr>
          <w:rFonts w:asciiTheme="majorBidi" w:hAnsiTheme="majorBidi" w:cstheme="majorBidi"/>
        </w:rPr>
        <w:t xml:space="preserve"> acid (P </w:t>
      </w:r>
      <w:r w:rsidRPr="00B37B12">
        <w:rPr>
          <w:rFonts w:asciiTheme="majorBidi" w:hAnsiTheme="majorBidi" w:cstheme="majorBidi"/>
          <w:lang w:bidi="ar-IQ"/>
        </w:rPr>
        <w:t>≤</w:t>
      </w:r>
      <w:r w:rsidRPr="00B37B12">
        <w:rPr>
          <w:rFonts w:asciiTheme="majorBidi" w:hAnsiTheme="majorBidi" w:cstheme="majorBidi"/>
        </w:rPr>
        <w:t xml:space="preserve"> 0.05) had a statistically significant impact on the yield (158.22 t ha</w:t>
      </w:r>
      <w:r w:rsidRPr="00B37B12">
        <w:rPr>
          <w:rFonts w:asciiTheme="majorBidi" w:hAnsiTheme="majorBidi" w:cstheme="majorBidi"/>
          <w:vertAlign w:val="superscript"/>
        </w:rPr>
        <w:t>-1</w:t>
      </w:r>
      <w:r>
        <w:rPr>
          <w:rFonts w:asciiTheme="majorBidi" w:hAnsiTheme="majorBidi" w:cstheme="majorBidi"/>
        </w:rPr>
        <w:t>) of the cucumber plant (Figure</w:t>
      </w:r>
      <w:r w:rsidRPr="00B37B12">
        <w:rPr>
          <w:rFonts w:asciiTheme="majorBidi" w:hAnsiTheme="majorBidi" w:cstheme="majorBidi"/>
        </w:rPr>
        <w:t xml:space="preserve"> 6).</w:t>
      </w:r>
    </w:p>
    <w:p w:rsidR="000F7833" w:rsidRDefault="000F7833" w:rsidP="000F7833">
      <w:pPr>
        <w:pStyle w:val="Tabletitle"/>
        <w:spacing w:before="0" w:line="480" w:lineRule="auto"/>
        <w:jc w:val="center"/>
        <w:rPr>
          <w:lang w:val="en-US"/>
        </w:rPr>
      </w:pPr>
      <w:r>
        <w:rPr>
          <w:noProof/>
          <w:lang w:val="en-US" w:eastAsia="en-US"/>
        </w:rPr>
        <w:lastRenderedPageBreak/>
        <w:drawing>
          <wp:inline distT="0" distB="0" distL="0" distR="0" wp14:anchorId="3347A52D" wp14:editId="5E9883F1">
            <wp:extent cx="5656520" cy="3721396"/>
            <wp:effectExtent l="0" t="0" r="1905" b="0"/>
            <wp:docPr id="15" name="Picture 15" descr="E:\Field 11\بحث خؤم 7-6-2016\بحثى خؤم  2016 داتاكان\فؤرمم و كتابى بحثى خؤم سى يةم\chart thesis\photoshop m dawd head map\yie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ield 11\بحث خؤم 7-6-2016\بحثى خؤم  2016 داتاكان\فؤرمم و كتابى بحثى خؤم سى يةم\chart thesis\photoshop m dawd head map\yield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068" t="7504" r="4393" b="6053"/>
                    <a:stretch/>
                  </pic:blipFill>
                  <pic:spPr bwMode="auto">
                    <a:xfrm>
                      <a:off x="0" y="0"/>
                      <a:ext cx="5663067" cy="3725703"/>
                    </a:xfrm>
                    <a:prstGeom prst="rect">
                      <a:avLst/>
                    </a:prstGeom>
                    <a:noFill/>
                    <a:ln>
                      <a:noFill/>
                    </a:ln>
                    <a:extLst>
                      <a:ext uri="{53640926-AAD7-44D8-BBD7-CCE9431645EC}">
                        <a14:shadowObscured xmlns:a14="http://schemas.microsoft.com/office/drawing/2010/main"/>
                      </a:ext>
                    </a:extLst>
                  </pic:spPr>
                </pic:pic>
              </a:graphicData>
            </a:graphic>
          </wp:inline>
        </w:drawing>
      </w:r>
    </w:p>
    <w:p w:rsidR="00F01586" w:rsidRDefault="000F7833" w:rsidP="00F01586">
      <w:pPr>
        <w:pStyle w:val="Tabletitle"/>
        <w:spacing w:before="0" w:after="240" w:line="480" w:lineRule="auto"/>
        <w:jc w:val="both"/>
        <w:rPr>
          <w:lang w:val="en-US"/>
        </w:rPr>
      </w:pPr>
      <w:r w:rsidRPr="00104BD7">
        <w:rPr>
          <w:lang w:val="en-US"/>
        </w:rPr>
        <w:t xml:space="preserve">Figure </w:t>
      </w:r>
      <w:r>
        <w:rPr>
          <w:lang w:val="en-US"/>
        </w:rPr>
        <w:t>6</w:t>
      </w:r>
      <w:r w:rsidRPr="00104BD7">
        <w:rPr>
          <w:lang w:val="en-US"/>
        </w:rPr>
        <w:t>. Effect of different concentrations of sulfuric acid on cucumber yield in the two soils.</w:t>
      </w:r>
    </w:p>
    <w:p w:rsidR="00F01586" w:rsidRPr="00F01586" w:rsidRDefault="00F046FA" w:rsidP="00F01586">
      <w:pPr>
        <w:pStyle w:val="Tabletitle"/>
        <w:spacing w:before="0" w:after="240" w:line="480" w:lineRule="auto"/>
        <w:jc w:val="both"/>
        <w:rPr>
          <w:b/>
          <w:bCs/>
        </w:rPr>
      </w:pPr>
      <w:r w:rsidRPr="00F01586">
        <w:rPr>
          <w:b/>
          <w:bCs/>
        </w:rPr>
        <w:t>Discussion</w:t>
      </w:r>
    </w:p>
    <w:p w:rsidR="00F01586" w:rsidRPr="00F01586" w:rsidRDefault="00F046FA" w:rsidP="00F01586">
      <w:pPr>
        <w:pStyle w:val="Tabletitle"/>
        <w:spacing w:before="0" w:after="240" w:line="480" w:lineRule="auto"/>
        <w:jc w:val="both"/>
        <w:rPr>
          <w:b/>
          <w:bCs/>
        </w:rPr>
      </w:pPr>
      <w:r w:rsidRPr="00F01586">
        <w:rPr>
          <w:b/>
          <w:bCs/>
        </w:rPr>
        <w:t xml:space="preserve">Soil Properties </w:t>
      </w:r>
    </w:p>
    <w:p w:rsidR="00F01586" w:rsidRDefault="00F046FA" w:rsidP="00F01586">
      <w:pPr>
        <w:pStyle w:val="Tabletitle"/>
        <w:spacing w:before="0" w:after="240" w:line="480" w:lineRule="auto"/>
        <w:jc w:val="both"/>
      </w:pPr>
      <w:r w:rsidRPr="00137AA0">
        <w:t>The calcite amount in the soil was diminished, possibly due to the dissolution of the lime by acid. This emphasized that the application of acid to calcareous soils dramatically decreases the pH value of the soil as a result of neutralizing soil CaCO</w:t>
      </w:r>
      <w:r w:rsidRPr="00137AA0">
        <w:rPr>
          <w:vertAlign w:val="subscript"/>
        </w:rPr>
        <w:t>3</w:t>
      </w:r>
      <w:r w:rsidRPr="00137AA0">
        <w:t xml:space="preserve">. A very low soil pH is obtained as the sulfuric acid results in a low pH in the soil solution. As a result, some of the phosphate compounds are dissolved, then the available phosphorus is released </w:t>
      </w:r>
      <w:r>
        <w:rPr>
          <w:noProof/>
        </w:rPr>
        <w:t>(Singh and Reddy, 2011)</w:t>
      </w:r>
      <w:r w:rsidRPr="00137AA0">
        <w:t xml:space="preserve">. In addition, </w:t>
      </w:r>
      <w:r>
        <w:rPr>
          <w:noProof/>
        </w:rPr>
        <w:t>Sumner and Yamada (2002)</w:t>
      </w:r>
      <w:r w:rsidRPr="00137AA0">
        <w:t xml:space="preserve"> found that soil acidification results in increasing the concentration of some nutrient elements in the soil solution, particularly phosphorus. </w:t>
      </w:r>
    </w:p>
    <w:p w:rsidR="00F046FA" w:rsidRPr="00F01586" w:rsidRDefault="00F046FA" w:rsidP="00F01586">
      <w:pPr>
        <w:pStyle w:val="Tabletitle"/>
        <w:spacing w:before="0" w:after="240" w:line="480" w:lineRule="auto"/>
        <w:jc w:val="both"/>
        <w:rPr>
          <w:lang w:val="en-US"/>
        </w:rPr>
      </w:pPr>
      <w:r w:rsidRPr="00104BD7">
        <w:rPr>
          <w:rFonts w:asciiTheme="majorBidi" w:hAnsiTheme="majorBidi" w:cstheme="majorBidi"/>
        </w:rPr>
        <w:lastRenderedPageBreak/>
        <w:t>It is commonly known that there is a direct relationship between soil pH and CaCO</w:t>
      </w:r>
      <w:r w:rsidRPr="00104BD7">
        <w:rPr>
          <w:rFonts w:asciiTheme="majorBidi" w:hAnsiTheme="majorBidi" w:cstheme="majorBidi"/>
          <w:vertAlign w:val="subscript"/>
        </w:rPr>
        <w:t>3</w:t>
      </w:r>
      <w:r w:rsidRPr="00104BD7">
        <w:rPr>
          <w:rFonts w:asciiTheme="majorBidi" w:hAnsiTheme="majorBidi" w:cstheme="majorBidi"/>
        </w:rPr>
        <w:t xml:space="preserve"> in soil. When a high concentration of sulfuric acid was added to the soils, the pH tended to an extremely low value, then the activity of CaCO</w:t>
      </w:r>
      <w:r w:rsidRPr="00104BD7">
        <w:rPr>
          <w:rFonts w:asciiTheme="majorBidi" w:hAnsiTheme="majorBidi" w:cstheme="majorBidi"/>
          <w:vertAlign w:val="subscript"/>
        </w:rPr>
        <w:t>3</w:t>
      </w:r>
      <w:r w:rsidRPr="00104BD7">
        <w:rPr>
          <w:rFonts w:asciiTheme="majorBidi" w:hAnsiTheme="majorBidi" w:cstheme="majorBidi"/>
        </w:rPr>
        <w:t xml:space="preserve"> was diminished. After the active carbonate calcium was restricted, most of the micronutrients are available. </w:t>
      </w:r>
      <w:r>
        <w:rPr>
          <w:rFonts w:asciiTheme="majorBidi" w:hAnsiTheme="majorBidi" w:cstheme="majorBidi"/>
          <w:noProof/>
        </w:rPr>
        <w:t>Sheikh-Abdullah (2019)</w:t>
      </w:r>
      <w:r w:rsidRPr="00104BD7">
        <w:rPr>
          <w:rFonts w:asciiTheme="majorBidi" w:hAnsiTheme="majorBidi" w:cstheme="majorBidi"/>
        </w:rPr>
        <w:t xml:space="preserve"> found a negative correlation between the availability of Fe, Zn and Mn, and CaCO</w:t>
      </w:r>
      <w:r w:rsidRPr="00104BD7">
        <w:rPr>
          <w:rFonts w:asciiTheme="majorBidi" w:hAnsiTheme="majorBidi" w:cstheme="majorBidi"/>
          <w:vertAlign w:val="subscript"/>
        </w:rPr>
        <w:t>3</w:t>
      </w:r>
      <w:r w:rsidRPr="00104BD7">
        <w:rPr>
          <w:rFonts w:asciiTheme="majorBidi" w:hAnsiTheme="majorBidi" w:cstheme="majorBidi"/>
        </w:rPr>
        <w:t xml:space="preserve"> activity. Then, the rate of micronutrients markedly increased. In soil with a low pH, most micronutrients are at their peak availability; this is probably due to the strong attraction of H</w:t>
      </w:r>
      <w:r w:rsidRPr="00104BD7">
        <w:rPr>
          <w:rFonts w:asciiTheme="majorBidi" w:hAnsiTheme="majorBidi" w:cstheme="majorBidi"/>
          <w:vertAlign w:val="superscript"/>
        </w:rPr>
        <w:t>+</w:t>
      </w:r>
      <w:r w:rsidRPr="00104BD7">
        <w:rPr>
          <w:rFonts w:asciiTheme="majorBidi" w:hAnsiTheme="majorBidi" w:cstheme="majorBidi"/>
        </w:rPr>
        <w:t xml:space="preserve"> ions to the negative site on the surface of the soil particles, which is then sufficiently replaced by other cations. Consequently, these cations are released to the soil solution obtaining better availability </w:t>
      </w:r>
      <w:r>
        <w:rPr>
          <w:rFonts w:asciiTheme="majorBidi" w:hAnsiTheme="majorBidi" w:cstheme="majorBidi"/>
          <w:noProof/>
        </w:rPr>
        <w:t>(Maruf and Mam Rasul, 2019)</w:t>
      </w:r>
      <w:r w:rsidRPr="00104BD7">
        <w:rPr>
          <w:rFonts w:asciiTheme="majorBidi" w:hAnsiTheme="majorBidi" w:cstheme="majorBidi"/>
        </w:rPr>
        <w:t xml:space="preserve">. In addition, </w:t>
      </w:r>
      <w:r>
        <w:rPr>
          <w:rFonts w:asciiTheme="majorBidi" w:hAnsiTheme="majorBidi" w:cstheme="majorBidi"/>
          <w:noProof/>
        </w:rPr>
        <w:t>Ghehsareh and Samadi (2012)</w:t>
      </w:r>
      <w:r w:rsidRPr="00104BD7">
        <w:rPr>
          <w:rFonts w:asciiTheme="majorBidi" w:hAnsiTheme="majorBidi" w:cstheme="majorBidi"/>
        </w:rPr>
        <w:t xml:space="preserve"> found that acidification of soil can result in the dissolution of soil minerals, particularly</w:t>
      </w:r>
      <w:r>
        <w:rPr>
          <w:rFonts w:asciiTheme="majorBidi" w:hAnsiTheme="majorBidi" w:cstheme="majorBidi"/>
        </w:rPr>
        <w:t xml:space="preserve"> microelement minerals.</w:t>
      </w:r>
    </w:p>
    <w:p w:rsidR="00F046FA" w:rsidRDefault="00F046FA" w:rsidP="00F01586">
      <w:pPr>
        <w:spacing w:before="100" w:beforeAutospacing="1" w:after="100" w:afterAutospacing="1"/>
        <w:jc w:val="both"/>
        <w:rPr>
          <w:rFonts w:asciiTheme="majorBidi" w:hAnsiTheme="majorBidi" w:cstheme="majorBidi"/>
        </w:rPr>
      </w:pPr>
      <w:r w:rsidRPr="00104BD7">
        <w:rPr>
          <w:rFonts w:asciiTheme="majorBidi" w:hAnsiTheme="majorBidi" w:cstheme="majorBidi"/>
        </w:rPr>
        <w:t xml:space="preserve">In addition, the correlations between P and micronutrients were varied (Figure </w:t>
      </w:r>
      <w:r w:rsidR="00A066A9">
        <w:rPr>
          <w:rFonts w:asciiTheme="majorBidi" w:hAnsiTheme="majorBidi" w:cstheme="majorBidi"/>
        </w:rPr>
        <w:t>7</w:t>
      </w:r>
      <w:r w:rsidRPr="00104BD7">
        <w:rPr>
          <w:rFonts w:asciiTheme="majorBidi" w:hAnsiTheme="majorBidi" w:cstheme="majorBidi"/>
        </w:rPr>
        <w:t xml:space="preserve">). The P in this work was a positive correlation with Zn in both soils, while it showed a negative correlation with other micronutrients (Fe, Cu, B and Mn). In contrast, the work of </w:t>
      </w:r>
      <w:r>
        <w:rPr>
          <w:rFonts w:asciiTheme="majorBidi" w:hAnsiTheme="majorBidi" w:cstheme="majorBidi"/>
          <w:noProof/>
        </w:rPr>
        <w:t>(Ali et al., 2014)</w:t>
      </w:r>
      <w:r w:rsidRPr="00104BD7">
        <w:rPr>
          <w:rFonts w:asciiTheme="majorBidi" w:hAnsiTheme="majorBidi" w:cstheme="majorBidi"/>
        </w:rPr>
        <w:t xml:space="preserve"> showed different results, as Zn, Cu and B decrease with an increase in P concentration in the soil, whereas Fe and Mn showed a positive correlation.</w:t>
      </w:r>
    </w:p>
    <w:p w:rsidR="00A066A9" w:rsidRPr="00104BD7" w:rsidRDefault="00A066A9" w:rsidP="00F01586">
      <w:pPr>
        <w:pStyle w:val="Tabletitle"/>
        <w:spacing w:after="240" w:line="480" w:lineRule="auto"/>
        <w:jc w:val="both"/>
        <w:rPr>
          <w:lang w:val="en-US"/>
        </w:rPr>
      </w:pPr>
      <w:r>
        <w:rPr>
          <w:noProof/>
          <w:lang w:val="en-US" w:eastAsia="en-US"/>
        </w:rPr>
        <w:lastRenderedPageBreak/>
        <w:drawing>
          <wp:inline distT="0" distB="0" distL="0" distR="0" wp14:anchorId="4473F2C4" wp14:editId="2F3521EB">
            <wp:extent cx="5752214" cy="3136605"/>
            <wp:effectExtent l="0" t="0" r="1270" b="6985"/>
            <wp:docPr id="18" name="Picture 18" descr="E:\Field 11\بحث خؤم 7-6-2016\بحثى خؤم  2016 داتاكان\فؤرمم و كتابى بحثى خؤم سى يةم\chart thesis\photoshop m dawd head map\photoshop m dawd hea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ield 11\بحث خؤم 7-6-2016\بحثى خؤم  2016 داتاكان\فؤرمم و كتابى بحثى خؤم سى يةم\chart thesis\photoshop m dawd head map\photoshop m dawd head map.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73" t="9910" b="2987"/>
                    <a:stretch/>
                  </pic:blipFill>
                  <pic:spPr bwMode="auto">
                    <a:xfrm>
                      <a:off x="0" y="0"/>
                      <a:ext cx="5756274" cy="3138819"/>
                    </a:xfrm>
                    <a:prstGeom prst="rect">
                      <a:avLst/>
                    </a:prstGeom>
                    <a:noFill/>
                    <a:ln>
                      <a:noFill/>
                    </a:ln>
                    <a:extLst>
                      <a:ext uri="{53640926-AAD7-44D8-BBD7-CCE9431645EC}">
                        <a14:shadowObscured xmlns:a14="http://schemas.microsoft.com/office/drawing/2010/main"/>
                      </a:ext>
                    </a:extLst>
                  </pic:spPr>
                </pic:pic>
              </a:graphicData>
            </a:graphic>
          </wp:inline>
        </w:drawing>
      </w:r>
      <w:r w:rsidRPr="00104BD7">
        <w:rPr>
          <w:lang w:val="en-US"/>
        </w:rPr>
        <w:t xml:space="preserve">Figure </w:t>
      </w:r>
      <w:r>
        <w:rPr>
          <w:lang w:val="en-US"/>
        </w:rPr>
        <w:t>7</w:t>
      </w:r>
      <w:r w:rsidRPr="00104BD7">
        <w:rPr>
          <w:lang w:val="en-US"/>
        </w:rPr>
        <w:t>. Heat map of Pearson correlation coefficients between available forms of micronutrients and phosphorus of the studied soil at 0-10, 10-20 and 20-30 cm.</w:t>
      </w:r>
    </w:p>
    <w:p w:rsidR="00F046FA" w:rsidRPr="00104BD7" w:rsidRDefault="00F046FA" w:rsidP="00F01586">
      <w:pPr>
        <w:spacing w:before="100" w:beforeAutospacing="1" w:after="100" w:afterAutospacing="1"/>
        <w:jc w:val="both"/>
        <w:rPr>
          <w:rFonts w:asciiTheme="majorBidi" w:hAnsiTheme="majorBidi" w:cstheme="majorBidi"/>
        </w:rPr>
      </w:pPr>
      <w:r w:rsidRPr="00104BD7">
        <w:rPr>
          <w:rFonts w:asciiTheme="majorBidi" w:hAnsiTheme="majorBidi" w:cstheme="majorBidi"/>
        </w:rPr>
        <w:t xml:space="preserve">Besides soil pH as a factor that affects micronutrient availability, soil texture is also deemed an important feature that influences the nutrient elements </w:t>
      </w:r>
      <w:r>
        <w:rPr>
          <w:rFonts w:asciiTheme="majorBidi" w:hAnsiTheme="majorBidi" w:cstheme="majorBidi"/>
          <w:noProof/>
        </w:rPr>
        <w:t>(Bajgiran, 2013)</w:t>
      </w:r>
      <w:r w:rsidRPr="00104BD7">
        <w:rPr>
          <w:rFonts w:asciiTheme="majorBidi" w:hAnsiTheme="majorBidi" w:cstheme="majorBidi"/>
        </w:rPr>
        <w:t xml:space="preserve">. However, finer-textured clay soils often display more concentrations of micronutrients and can endure higher pH compared to sandier soils </w:t>
      </w:r>
      <w:r>
        <w:rPr>
          <w:rFonts w:asciiTheme="majorBidi" w:hAnsiTheme="majorBidi" w:cstheme="majorBidi"/>
          <w:noProof/>
        </w:rPr>
        <w:t>(Shuman, 1986)</w:t>
      </w:r>
      <w:r w:rsidRPr="00104BD7">
        <w:rPr>
          <w:rFonts w:asciiTheme="majorBidi" w:hAnsiTheme="majorBidi" w:cstheme="majorBidi"/>
        </w:rPr>
        <w:t xml:space="preserve">. </w:t>
      </w:r>
      <w:r>
        <w:rPr>
          <w:rFonts w:asciiTheme="majorBidi" w:hAnsiTheme="majorBidi" w:cstheme="majorBidi"/>
          <w:noProof/>
        </w:rPr>
        <w:t>Silva et al. (2019)</w:t>
      </w:r>
      <w:r w:rsidRPr="00104BD7">
        <w:rPr>
          <w:rFonts w:asciiTheme="majorBidi" w:hAnsiTheme="majorBidi" w:cstheme="majorBidi"/>
        </w:rPr>
        <w:t xml:space="preserve"> explained that soils with a sand texture contain the lowest Fe, Mn, Zn, and Cu, and the researchers stated that the average content of micronutrients in these soils was 4-10 times lower than those of clay loam and loam texture soils at 0.00-0.20 m layer. In addition, </w:t>
      </w:r>
      <w:r>
        <w:rPr>
          <w:rFonts w:asciiTheme="majorBidi" w:hAnsiTheme="majorBidi" w:cstheme="majorBidi"/>
          <w:noProof/>
        </w:rPr>
        <w:t>Najafi-Ghiri et al. (2013)</w:t>
      </w:r>
      <w:r w:rsidRPr="00104BD7">
        <w:rPr>
          <w:rFonts w:asciiTheme="majorBidi" w:hAnsiTheme="majorBidi" w:cstheme="majorBidi"/>
        </w:rPr>
        <w:t xml:space="preserve"> in their work on the availability of mi</w:t>
      </w:r>
      <w:r w:rsidR="00800652">
        <w:rPr>
          <w:rFonts w:asciiTheme="majorBidi" w:hAnsiTheme="majorBidi" w:cstheme="majorBidi"/>
        </w:rPr>
        <w:t>cronutrients in calcareous soil</w:t>
      </w:r>
      <w:r w:rsidRPr="00104BD7">
        <w:rPr>
          <w:rFonts w:asciiTheme="majorBidi" w:hAnsiTheme="majorBidi" w:cstheme="majorBidi"/>
        </w:rPr>
        <w:t xml:space="preserve"> found that a better content of clay in the soil showed preferable concentrations of micronutrients. These cations exist in the soil solution and can bind to negative charges of clay minerals by external sphere (ion exchange) or internal sphere (specific adsorption) bonds </w:t>
      </w:r>
      <w:r>
        <w:rPr>
          <w:rFonts w:asciiTheme="majorBidi" w:hAnsiTheme="majorBidi" w:cstheme="majorBidi"/>
          <w:noProof/>
        </w:rPr>
        <w:t>(Silva et al., 2019)</w:t>
      </w:r>
      <w:r w:rsidRPr="00104BD7">
        <w:rPr>
          <w:rFonts w:asciiTheme="majorBidi" w:hAnsiTheme="majorBidi" w:cstheme="majorBidi"/>
        </w:rPr>
        <w:t xml:space="preserve">. </w:t>
      </w:r>
    </w:p>
    <w:p w:rsidR="00F046FA" w:rsidRDefault="00F046FA" w:rsidP="00F01586">
      <w:pPr>
        <w:spacing w:before="100" w:beforeAutospacing="1" w:after="100" w:afterAutospacing="1"/>
        <w:jc w:val="both"/>
        <w:rPr>
          <w:rFonts w:asciiTheme="majorBidi" w:hAnsiTheme="majorBidi" w:cstheme="majorBidi"/>
        </w:rPr>
      </w:pPr>
      <w:r w:rsidRPr="00104BD7">
        <w:rPr>
          <w:rFonts w:asciiTheme="majorBidi" w:hAnsiTheme="majorBidi" w:cstheme="majorBidi"/>
        </w:rPr>
        <w:lastRenderedPageBreak/>
        <w:t xml:space="preserve">In calcareous soils at both locations, a high level of active lime can result in the release of calcium carbonate to the soil solution, which causes an increase in soil </w:t>
      </w:r>
      <w:proofErr w:type="spellStart"/>
      <w:r w:rsidRPr="00104BD7">
        <w:rPr>
          <w:rFonts w:asciiTheme="majorBidi" w:hAnsiTheme="majorBidi" w:cstheme="majorBidi"/>
        </w:rPr>
        <w:t>pH.</w:t>
      </w:r>
      <w:proofErr w:type="spellEnd"/>
      <w:r w:rsidRPr="00104BD7">
        <w:rPr>
          <w:rFonts w:asciiTheme="majorBidi" w:hAnsiTheme="majorBidi" w:cstheme="majorBidi"/>
        </w:rPr>
        <w:t xml:space="preserve"> As a result, the iron element is precipitated, as iron hydroxide is formed in the soil and is unavailable to be absorbed by the plants. In addition, increasing soil pH can reduce available Cu concentration due to the precipitation of the element as Cu(OH)</w:t>
      </w:r>
      <w:r w:rsidRPr="00104BD7">
        <w:rPr>
          <w:rFonts w:asciiTheme="majorBidi" w:hAnsiTheme="majorBidi" w:cstheme="majorBidi"/>
          <w:vertAlign w:val="subscript"/>
        </w:rPr>
        <w:t>2</w:t>
      </w:r>
      <w:r w:rsidRPr="00104BD7">
        <w:rPr>
          <w:rFonts w:asciiTheme="majorBidi" w:hAnsiTheme="majorBidi" w:cstheme="majorBidi"/>
        </w:rPr>
        <w:t xml:space="preserve">. However, the available form of Mn mainly depends on dissolving manganese compounds in soil, which occurs under low soil </w:t>
      </w:r>
      <w:proofErr w:type="spellStart"/>
      <w:r w:rsidRPr="00104BD7">
        <w:rPr>
          <w:rFonts w:asciiTheme="majorBidi" w:hAnsiTheme="majorBidi" w:cstheme="majorBidi"/>
        </w:rPr>
        <w:t>pH.</w:t>
      </w:r>
      <w:proofErr w:type="spellEnd"/>
      <w:r w:rsidRPr="00104BD7">
        <w:rPr>
          <w:rFonts w:asciiTheme="majorBidi" w:hAnsiTheme="majorBidi" w:cstheme="majorBidi"/>
        </w:rPr>
        <w:t xml:space="preserve"> Also, soil microorganisms, which influence the availability of manganese reduction, rely markedly on soil pH, and the optimum value of pH for soil microorganism activity is around 7. Furthermore, the sharp decrease in Zn concentration above pH 7 appears to be the result of the decreased concentration of Zn</w:t>
      </w:r>
      <w:r w:rsidRPr="00104BD7">
        <w:rPr>
          <w:rFonts w:asciiTheme="majorBidi" w:hAnsiTheme="majorBidi" w:cstheme="majorBidi"/>
          <w:vertAlign w:val="superscript"/>
        </w:rPr>
        <w:t>2+</w:t>
      </w:r>
      <w:r w:rsidRPr="00104BD7">
        <w:rPr>
          <w:rFonts w:asciiTheme="majorBidi" w:hAnsiTheme="majorBidi" w:cstheme="majorBidi"/>
        </w:rPr>
        <w:t xml:space="preserve"> species and the increase in hydrolysed forms of Zn(OH)</w:t>
      </w:r>
      <w:r w:rsidRPr="00104BD7">
        <w:rPr>
          <w:rFonts w:asciiTheme="majorBidi" w:hAnsiTheme="majorBidi" w:cstheme="majorBidi"/>
          <w:vertAlign w:val="superscript"/>
        </w:rPr>
        <w:t>+</w:t>
      </w:r>
      <w:r w:rsidRPr="00104BD7">
        <w:rPr>
          <w:rFonts w:asciiTheme="majorBidi" w:hAnsiTheme="majorBidi" w:cstheme="majorBidi"/>
        </w:rPr>
        <w:t xml:space="preserve"> and Zn(0H)</w:t>
      </w:r>
      <w:r w:rsidRPr="00104BD7">
        <w:rPr>
          <w:rFonts w:asciiTheme="majorBidi" w:hAnsiTheme="majorBidi" w:cstheme="majorBidi"/>
          <w:vertAlign w:val="subscript"/>
        </w:rPr>
        <w:t>2</w:t>
      </w:r>
      <w:r w:rsidRPr="00104BD7">
        <w:rPr>
          <w:rFonts w:asciiTheme="majorBidi" w:hAnsiTheme="majorBidi" w:cstheme="majorBidi"/>
        </w:rPr>
        <w:t xml:space="preserve"> </w:t>
      </w:r>
      <w:r>
        <w:rPr>
          <w:rFonts w:asciiTheme="majorBidi" w:hAnsiTheme="majorBidi" w:cstheme="majorBidi"/>
          <w:noProof/>
        </w:rPr>
        <w:t>(Metwally et al., 1993)</w:t>
      </w:r>
      <w:r w:rsidRPr="00104BD7">
        <w:rPr>
          <w:rFonts w:asciiTheme="majorBidi" w:hAnsiTheme="majorBidi" w:cstheme="majorBidi"/>
        </w:rPr>
        <w:t>.</w:t>
      </w:r>
    </w:p>
    <w:p w:rsidR="00F046FA" w:rsidRPr="00DE5B87" w:rsidRDefault="00F046FA" w:rsidP="00F01586">
      <w:pPr>
        <w:rPr>
          <w:rFonts w:asciiTheme="majorBidi" w:hAnsiTheme="majorBidi" w:cstheme="majorBidi"/>
        </w:rPr>
      </w:pPr>
      <w:r w:rsidRPr="00DE5B87">
        <w:rPr>
          <w:rFonts w:asciiTheme="majorBidi" w:hAnsiTheme="majorBidi" w:cstheme="majorBidi"/>
          <w:b/>
          <w:bCs/>
        </w:rPr>
        <w:t>Soil Textures</w:t>
      </w:r>
    </w:p>
    <w:p w:rsidR="00F046FA" w:rsidRPr="00104BD7" w:rsidRDefault="00F046FA" w:rsidP="00F01586">
      <w:pPr>
        <w:jc w:val="both"/>
        <w:rPr>
          <w:rFonts w:asciiTheme="majorBidi" w:hAnsiTheme="majorBidi" w:cstheme="majorBidi"/>
        </w:rPr>
      </w:pPr>
      <w:r w:rsidRPr="00104BD7">
        <w:rPr>
          <w:rFonts w:asciiTheme="majorBidi" w:hAnsiTheme="majorBidi" w:cstheme="majorBidi"/>
        </w:rPr>
        <w:t xml:space="preserve">Micronutrient concentration was higher at soil type S2, which contains a higher clay content. It was observed that soils with a high clay content have greater adsorptive capacities and higher bonding energies for micronutrients </w:t>
      </w:r>
      <w:r>
        <w:rPr>
          <w:rFonts w:asciiTheme="majorBidi" w:hAnsiTheme="majorBidi" w:cstheme="majorBidi"/>
          <w:noProof/>
        </w:rPr>
        <w:t>(Chukwuma et al., 2010)</w:t>
      </w:r>
      <w:r w:rsidRPr="00104BD7">
        <w:rPr>
          <w:rFonts w:asciiTheme="majorBidi" w:hAnsiTheme="majorBidi" w:cstheme="majorBidi"/>
        </w:rPr>
        <w:t xml:space="preserve">. In addition, </w:t>
      </w:r>
      <w:r>
        <w:rPr>
          <w:rFonts w:asciiTheme="majorBidi" w:hAnsiTheme="majorBidi" w:cstheme="majorBidi"/>
          <w:noProof/>
        </w:rPr>
        <w:t>Rengel (2015)</w:t>
      </w:r>
      <w:r w:rsidRPr="00104BD7">
        <w:rPr>
          <w:rFonts w:asciiTheme="majorBidi" w:hAnsiTheme="majorBidi" w:cstheme="majorBidi"/>
        </w:rPr>
        <w:t xml:space="preserve"> confirms that micronutrients (Fe, Zn, Cu and Mn) have better availability with a relatively higher proportion of clay. Furthermore, the availability of B is greater with higher clay content in the soil, and the mechanism of the B adsorption step is considered to be ligand exchange with surface hydroxyl groups on the clay’s particle edges. Therefore, additions of B could be made without it becoming toxic to plants because of a high adsorption capacity </w:t>
      </w:r>
      <w:r>
        <w:rPr>
          <w:rFonts w:asciiTheme="majorBidi" w:hAnsiTheme="majorBidi" w:cstheme="majorBidi"/>
          <w:noProof/>
        </w:rPr>
        <w:t>(Steiner and Lana, 2013)</w:t>
      </w:r>
      <w:r w:rsidRPr="00104BD7">
        <w:rPr>
          <w:rFonts w:asciiTheme="majorBidi" w:hAnsiTheme="majorBidi" w:cstheme="majorBidi"/>
        </w:rPr>
        <w:t>.</w:t>
      </w:r>
    </w:p>
    <w:p w:rsidR="00F046FA" w:rsidRPr="00DE5B87" w:rsidRDefault="00F046FA" w:rsidP="00F01586">
      <w:pPr>
        <w:pStyle w:val="Heading2"/>
        <w:spacing w:line="480" w:lineRule="auto"/>
        <w:rPr>
          <w:i w:val="0"/>
          <w:iCs w:val="0"/>
          <w:szCs w:val="24"/>
        </w:rPr>
      </w:pPr>
      <w:r w:rsidRPr="00DE5B87">
        <w:rPr>
          <w:i w:val="0"/>
          <w:iCs w:val="0"/>
          <w:szCs w:val="24"/>
        </w:rPr>
        <w:lastRenderedPageBreak/>
        <w:t>Element concentration in plant tissue and cucumber yield</w:t>
      </w:r>
    </w:p>
    <w:p w:rsidR="00F046FA" w:rsidRPr="00F01586" w:rsidRDefault="00F046FA" w:rsidP="00F01586">
      <w:pPr>
        <w:pStyle w:val="Heading2"/>
        <w:spacing w:line="480" w:lineRule="auto"/>
        <w:jc w:val="both"/>
        <w:rPr>
          <w:b w:val="0"/>
          <w:bCs w:val="0"/>
          <w:i w:val="0"/>
          <w:iCs w:val="0"/>
          <w:szCs w:val="24"/>
        </w:rPr>
      </w:pPr>
      <w:r w:rsidRPr="00FE0AEE">
        <w:rPr>
          <w:rFonts w:asciiTheme="majorBidi" w:hAnsiTheme="majorBidi" w:cstheme="majorBidi"/>
          <w:b w:val="0"/>
          <w:bCs w:val="0"/>
          <w:i w:val="0"/>
          <w:iCs w:val="0"/>
          <w:szCs w:val="24"/>
        </w:rPr>
        <w:t>The acidification of soil might cause an increase in the dissolution of minerals containing microelements. Also, the absorbance of B by plants in H</w:t>
      </w:r>
      <w:r w:rsidRPr="00FE0AEE">
        <w:rPr>
          <w:rFonts w:asciiTheme="majorBidi" w:hAnsiTheme="majorBidi" w:cstheme="majorBidi"/>
          <w:b w:val="0"/>
          <w:bCs w:val="0"/>
          <w:i w:val="0"/>
          <w:iCs w:val="0"/>
          <w:szCs w:val="24"/>
          <w:vertAlign w:val="subscript"/>
        </w:rPr>
        <w:t>3</w:t>
      </w:r>
      <w:r w:rsidRPr="00FE0AEE">
        <w:rPr>
          <w:rFonts w:asciiTheme="majorBidi" w:hAnsiTheme="majorBidi" w:cstheme="majorBidi"/>
          <w:b w:val="0"/>
          <w:bCs w:val="0"/>
          <w:i w:val="0"/>
          <w:iCs w:val="0"/>
          <w:szCs w:val="24"/>
        </w:rPr>
        <w:t>BO</w:t>
      </w:r>
      <w:r w:rsidRPr="00FE0AEE">
        <w:rPr>
          <w:rFonts w:asciiTheme="majorBidi" w:hAnsiTheme="majorBidi" w:cstheme="majorBidi"/>
          <w:b w:val="0"/>
          <w:bCs w:val="0"/>
          <w:i w:val="0"/>
          <w:iCs w:val="0"/>
          <w:szCs w:val="24"/>
          <w:vertAlign w:val="subscript"/>
        </w:rPr>
        <w:t>3</w:t>
      </w:r>
      <w:r w:rsidRPr="00FE0AEE">
        <w:rPr>
          <w:rFonts w:asciiTheme="majorBidi" w:hAnsiTheme="majorBidi" w:cstheme="majorBidi"/>
          <w:b w:val="0"/>
          <w:bCs w:val="0"/>
          <w:i w:val="0"/>
          <w:iCs w:val="0"/>
          <w:szCs w:val="24"/>
        </w:rPr>
        <w:t xml:space="preserve"> form, and an increase in soil pH, can result in the dissociation of H</w:t>
      </w:r>
      <w:r w:rsidRPr="00FE0AEE">
        <w:rPr>
          <w:rFonts w:asciiTheme="majorBidi" w:hAnsiTheme="majorBidi" w:cstheme="majorBidi"/>
          <w:b w:val="0"/>
          <w:bCs w:val="0"/>
          <w:i w:val="0"/>
          <w:iCs w:val="0"/>
          <w:szCs w:val="24"/>
          <w:vertAlign w:val="subscript"/>
        </w:rPr>
        <w:t>3</w:t>
      </w:r>
      <w:r w:rsidRPr="00FE0AEE">
        <w:rPr>
          <w:rFonts w:asciiTheme="majorBidi" w:hAnsiTheme="majorBidi" w:cstheme="majorBidi"/>
          <w:b w:val="0"/>
          <w:bCs w:val="0"/>
          <w:i w:val="0"/>
          <w:iCs w:val="0"/>
          <w:szCs w:val="24"/>
        </w:rPr>
        <w:t>BO</w:t>
      </w:r>
      <w:r w:rsidRPr="00FE0AEE">
        <w:rPr>
          <w:rFonts w:asciiTheme="majorBidi" w:hAnsiTheme="majorBidi" w:cstheme="majorBidi"/>
          <w:b w:val="0"/>
          <w:bCs w:val="0"/>
          <w:i w:val="0"/>
          <w:iCs w:val="0"/>
          <w:szCs w:val="24"/>
          <w:vertAlign w:val="subscript"/>
        </w:rPr>
        <w:t>3</w:t>
      </w:r>
      <w:r w:rsidRPr="00FE0AEE">
        <w:rPr>
          <w:rFonts w:asciiTheme="majorBidi" w:hAnsiTheme="majorBidi" w:cstheme="majorBidi"/>
          <w:b w:val="0"/>
          <w:bCs w:val="0"/>
          <w:i w:val="0"/>
          <w:iCs w:val="0"/>
          <w:szCs w:val="24"/>
        </w:rPr>
        <w:t xml:space="preserve"> and transformation into H</w:t>
      </w:r>
      <w:r w:rsidRPr="00FE0AEE">
        <w:rPr>
          <w:rFonts w:asciiTheme="majorBidi" w:hAnsiTheme="majorBidi" w:cstheme="majorBidi"/>
          <w:b w:val="0"/>
          <w:bCs w:val="0"/>
          <w:i w:val="0"/>
          <w:iCs w:val="0"/>
          <w:szCs w:val="24"/>
          <w:vertAlign w:val="subscript"/>
        </w:rPr>
        <w:t>2</w:t>
      </w:r>
      <w:r w:rsidRPr="00FE0AEE">
        <w:rPr>
          <w:rFonts w:asciiTheme="majorBidi" w:hAnsiTheme="majorBidi" w:cstheme="majorBidi"/>
          <w:b w:val="0"/>
          <w:bCs w:val="0"/>
          <w:i w:val="0"/>
          <w:iCs w:val="0"/>
          <w:szCs w:val="24"/>
        </w:rPr>
        <w:t>BO</w:t>
      </w:r>
      <w:r w:rsidRPr="00FE0AEE">
        <w:rPr>
          <w:rFonts w:asciiTheme="majorBidi" w:hAnsiTheme="majorBidi" w:cstheme="majorBidi"/>
          <w:b w:val="0"/>
          <w:bCs w:val="0"/>
          <w:i w:val="0"/>
          <w:iCs w:val="0"/>
          <w:szCs w:val="24"/>
          <w:vertAlign w:val="subscript"/>
        </w:rPr>
        <w:t>3</w:t>
      </w:r>
      <w:r w:rsidRPr="00FE0AEE">
        <w:rPr>
          <w:rFonts w:asciiTheme="majorBidi" w:hAnsiTheme="majorBidi" w:cstheme="majorBidi"/>
          <w:b w:val="0"/>
          <w:bCs w:val="0"/>
          <w:i w:val="0"/>
          <w:iCs w:val="0"/>
          <w:szCs w:val="24"/>
        </w:rPr>
        <w:t xml:space="preserve"> form </w:t>
      </w:r>
      <w:r>
        <w:rPr>
          <w:rFonts w:asciiTheme="majorBidi" w:hAnsiTheme="majorBidi" w:cstheme="majorBidi"/>
          <w:b w:val="0"/>
          <w:bCs w:val="0"/>
          <w:i w:val="0"/>
          <w:iCs w:val="0"/>
          <w:noProof/>
          <w:szCs w:val="24"/>
        </w:rPr>
        <w:t>(Barber, 1995)</w:t>
      </w:r>
      <w:r w:rsidRPr="00FE0AEE">
        <w:rPr>
          <w:rFonts w:asciiTheme="majorBidi" w:hAnsiTheme="majorBidi" w:cstheme="majorBidi"/>
          <w:b w:val="0"/>
          <w:bCs w:val="0"/>
          <w:i w:val="0"/>
          <w:iCs w:val="0"/>
          <w:szCs w:val="24"/>
        </w:rPr>
        <w:t xml:space="preserve">; finally, the availability of boron to the plants would be decreased. As a result, the B uptake is decreased by increasing the pH of the soil solution. However, in this work, the concentration of micronutrients in cucumber leaves was similar to the study of </w:t>
      </w:r>
      <w:r>
        <w:rPr>
          <w:rFonts w:asciiTheme="majorBidi" w:hAnsiTheme="majorBidi" w:cstheme="majorBidi"/>
          <w:b w:val="0"/>
          <w:bCs w:val="0"/>
          <w:i w:val="0"/>
          <w:iCs w:val="0"/>
          <w:noProof/>
          <w:szCs w:val="24"/>
        </w:rPr>
        <w:t>Kreij et al. (1992)</w:t>
      </w:r>
      <w:r w:rsidRPr="00FE0AEE">
        <w:rPr>
          <w:rFonts w:asciiTheme="majorBidi" w:hAnsiTheme="majorBidi" w:cstheme="majorBidi"/>
          <w:b w:val="0"/>
          <w:bCs w:val="0"/>
          <w:i w:val="0"/>
          <w:iCs w:val="0"/>
          <w:szCs w:val="24"/>
        </w:rPr>
        <w:t xml:space="preserve">. Therefore, it seems that soil acidification to a pH range of about 5.5 improved the provision of micronutrients for cucumber plants. </w:t>
      </w:r>
      <w:r>
        <w:rPr>
          <w:rFonts w:asciiTheme="majorBidi" w:hAnsiTheme="majorBidi" w:cstheme="majorBidi"/>
          <w:b w:val="0"/>
          <w:bCs w:val="0"/>
          <w:i w:val="0"/>
          <w:iCs w:val="0"/>
          <w:noProof/>
          <w:szCs w:val="24"/>
        </w:rPr>
        <w:t>(Fageria, 2012)</w:t>
      </w:r>
      <w:r w:rsidRPr="00FE0AEE">
        <w:rPr>
          <w:rFonts w:asciiTheme="majorBidi" w:hAnsiTheme="majorBidi" w:cstheme="majorBidi"/>
          <w:b w:val="0"/>
          <w:bCs w:val="0"/>
          <w:i w:val="0"/>
          <w:iCs w:val="0"/>
          <w:szCs w:val="24"/>
        </w:rPr>
        <w:t xml:space="preserve"> also explained that a decrease in pH of irrigation water caused an increase in micronutrient </w:t>
      </w:r>
      <w:r w:rsidRPr="00F01586">
        <w:rPr>
          <w:rFonts w:asciiTheme="majorBidi" w:hAnsiTheme="majorBidi" w:cstheme="majorBidi"/>
          <w:b w:val="0"/>
          <w:bCs w:val="0"/>
          <w:i w:val="0"/>
          <w:iCs w:val="0"/>
          <w:szCs w:val="24"/>
        </w:rPr>
        <w:t xml:space="preserve">uptake. </w:t>
      </w:r>
      <w:r w:rsidRPr="00F01586">
        <w:rPr>
          <w:rFonts w:asciiTheme="majorBidi" w:hAnsiTheme="majorBidi" w:cstheme="majorBidi"/>
          <w:b w:val="0"/>
          <w:bCs w:val="0"/>
          <w:i w:val="0"/>
          <w:iCs w:val="0"/>
          <w:noProof/>
        </w:rPr>
        <w:t>Ghehsareh and Samadi (2012)</w:t>
      </w:r>
      <w:r w:rsidRPr="00F01586">
        <w:rPr>
          <w:rFonts w:asciiTheme="majorBidi" w:hAnsiTheme="majorBidi" w:cstheme="majorBidi"/>
          <w:b w:val="0"/>
          <w:bCs w:val="0"/>
          <w:i w:val="0"/>
          <w:iCs w:val="0"/>
        </w:rPr>
        <w:t xml:space="preserve"> in their work on </w:t>
      </w:r>
      <w:r w:rsidR="00800652" w:rsidRPr="00F01586">
        <w:rPr>
          <w:rFonts w:asciiTheme="majorBidi" w:hAnsiTheme="majorBidi" w:cstheme="majorBidi"/>
          <w:b w:val="0"/>
          <w:bCs w:val="0"/>
          <w:i w:val="0"/>
          <w:iCs w:val="0"/>
        </w:rPr>
        <w:t>corn</w:t>
      </w:r>
      <w:r w:rsidRPr="00F01586">
        <w:rPr>
          <w:rFonts w:asciiTheme="majorBidi" w:hAnsiTheme="majorBidi" w:cstheme="majorBidi"/>
          <w:b w:val="0"/>
          <w:bCs w:val="0"/>
          <w:i w:val="0"/>
          <w:iCs w:val="0"/>
        </w:rPr>
        <w:t xml:space="preserve"> found that an increase of phosphorus uptake by the crop was obtained by acidifying irrigation water in the corn plantation.</w:t>
      </w:r>
      <w:r w:rsidRPr="00104BD7">
        <w:rPr>
          <w:rFonts w:asciiTheme="majorBidi" w:hAnsiTheme="majorBidi" w:cstheme="majorBidi"/>
        </w:rPr>
        <w:t xml:space="preserve"> </w:t>
      </w:r>
    </w:p>
    <w:p w:rsidR="00F046FA" w:rsidRPr="00104BD7" w:rsidRDefault="00F046FA" w:rsidP="00F01586">
      <w:pPr>
        <w:autoSpaceDE w:val="0"/>
        <w:autoSpaceDN w:val="0"/>
        <w:adjustRightInd w:val="0"/>
        <w:spacing w:before="100" w:beforeAutospacing="1" w:after="100" w:afterAutospacing="1"/>
        <w:jc w:val="both"/>
        <w:rPr>
          <w:rFonts w:asciiTheme="majorBidi" w:hAnsiTheme="majorBidi" w:cstheme="majorBidi"/>
          <w:b/>
          <w:bCs/>
        </w:rPr>
      </w:pPr>
      <w:r w:rsidRPr="00104BD7">
        <w:rPr>
          <w:rFonts w:asciiTheme="majorBidi" w:hAnsiTheme="majorBidi" w:cstheme="majorBidi"/>
        </w:rPr>
        <w:t xml:space="preserve">As the availability of microelements and their uptake to the plant are improved by reducing the pH value, the yield is noticeably enhanced. The improvement of this parameter is probably due to an increase in the amount of chlorophyll in the leaves, which results from a decrease in alkalinity. Moreover, the highest amount of chlorophyll in leaves can be obtained from plant leaves in an acidic media, as the amount of chlorophyll in leaves can be an important index in determining the rate of photosynthesis </w:t>
      </w:r>
      <w:r>
        <w:rPr>
          <w:rFonts w:asciiTheme="majorBidi" w:hAnsiTheme="majorBidi" w:cstheme="majorBidi"/>
          <w:noProof/>
        </w:rPr>
        <w:t>(Duchovskis et al., 2006)</w:t>
      </w:r>
      <w:r w:rsidRPr="00104BD7">
        <w:rPr>
          <w:rFonts w:asciiTheme="majorBidi" w:hAnsiTheme="majorBidi" w:cstheme="majorBidi"/>
        </w:rPr>
        <w:t>. Also, gains in high yields and good quality of cucumber depend on a convenient supply of macro- and mi</w:t>
      </w:r>
      <w:r w:rsidRPr="00104BD7">
        <w:rPr>
          <w:rFonts w:asciiTheme="majorBidi" w:hAnsiTheme="majorBidi" w:cstheme="majorBidi"/>
        </w:rPr>
        <w:softHyphen/>
        <w:t xml:space="preserve">croelements into the plant. Nutrient deficiency, particularly microelements, in plants can cause a deterioration in plant resistance to detrimental environmental factors: declining yields and quality can </w:t>
      </w:r>
      <w:r w:rsidRPr="00104BD7">
        <w:rPr>
          <w:rFonts w:asciiTheme="majorBidi" w:hAnsiTheme="majorBidi" w:cstheme="majorBidi"/>
        </w:rPr>
        <w:lastRenderedPageBreak/>
        <w:t xml:space="preserve">occur </w:t>
      </w:r>
      <w:r>
        <w:rPr>
          <w:rFonts w:asciiTheme="majorBidi" w:hAnsiTheme="majorBidi" w:cstheme="majorBidi"/>
          <w:noProof/>
        </w:rPr>
        <w:t>(Rutkowska et al., 2014)</w:t>
      </w:r>
      <w:r w:rsidRPr="00104BD7">
        <w:rPr>
          <w:rFonts w:asciiTheme="majorBidi" w:hAnsiTheme="majorBidi" w:cstheme="majorBidi"/>
        </w:rPr>
        <w:t xml:space="preserve">. However, the most important nutrients for cucurbits, especially cucumber, which are mainly affected by soil pH are P and micronutrients in the soil </w:t>
      </w:r>
      <w:r>
        <w:rPr>
          <w:rFonts w:asciiTheme="majorBidi" w:hAnsiTheme="majorBidi" w:cstheme="majorBidi"/>
          <w:noProof/>
        </w:rPr>
        <w:t>(Mousavi et al., 2011)</w:t>
      </w:r>
      <w:r w:rsidRPr="00104BD7">
        <w:rPr>
          <w:rFonts w:asciiTheme="majorBidi" w:hAnsiTheme="majorBidi" w:cstheme="majorBidi"/>
        </w:rPr>
        <w:t xml:space="preserve">. As a result, the pH for cucumber production is managed at 5.5–6.5, levels ordinarily used for plant production, and it has been observed that a target pH of 7.0 resulted in a 9.5% increase in the growth rate compared to the 5.0 treatment when the soil was acidified with an acid to manage the pH value </w:t>
      </w:r>
      <w:r>
        <w:rPr>
          <w:rFonts w:asciiTheme="majorBidi" w:hAnsiTheme="majorBidi" w:cstheme="majorBidi"/>
          <w:noProof/>
        </w:rPr>
        <w:t>(Blanchard et al., 2020)</w:t>
      </w:r>
      <w:r w:rsidRPr="00104BD7">
        <w:rPr>
          <w:rFonts w:asciiTheme="majorBidi" w:hAnsiTheme="majorBidi" w:cstheme="majorBidi"/>
        </w:rPr>
        <w:t>.</w:t>
      </w:r>
    </w:p>
    <w:p w:rsidR="00F046FA" w:rsidRPr="00104BD7" w:rsidRDefault="00F046FA" w:rsidP="00EA7180">
      <w:pPr>
        <w:autoSpaceDE w:val="0"/>
        <w:autoSpaceDN w:val="0"/>
        <w:adjustRightInd w:val="0"/>
        <w:spacing w:before="240"/>
        <w:rPr>
          <w:rFonts w:asciiTheme="majorBidi" w:hAnsiTheme="majorBidi" w:cstheme="majorBidi"/>
          <w:b/>
          <w:bCs/>
        </w:rPr>
      </w:pPr>
      <w:r w:rsidRPr="00104BD7">
        <w:rPr>
          <w:rFonts w:asciiTheme="majorBidi" w:hAnsiTheme="majorBidi" w:cstheme="majorBidi"/>
          <w:b/>
          <w:bCs/>
        </w:rPr>
        <w:t>Conclusion</w:t>
      </w:r>
    </w:p>
    <w:p w:rsidR="00F046FA" w:rsidRDefault="00F046FA" w:rsidP="00F01586">
      <w:pPr>
        <w:autoSpaceDE w:val="0"/>
        <w:autoSpaceDN w:val="0"/>
        <w:adjustRightInd w:val="0"/>
        <w:jc w:val="both"/>
        <w:rPr>
          <w:rFonts w:asciiTheme="majorBidi" w:hAnsiTheme="majorBidi" w:cstheme="majorBidi"/>
        </w:rPr>
      </w:pPr>
      <w:r w:rsidRPr="00104BD7">
        <w:rPr>
          <w:rFonts w:asciiTheme="majorBidi" w:hAnsiTheme="majorBidi" w:cstheme="majorBidi"/>
        </w:rPr>
        <w:t>Soil pH values noticeably were decreased by the addition of a low concentration of sulfuric acid. The values of soil pH were regularly decreased by increasing sulfuric acid (ml L</w:t>
      </w:r>
      <w:r w:rsidRPr="00104BD7">
        <w:rPr>
          <w:rFonts w:asciiTheme="majorBidi" w:hAnsiTheme="majorBidi" w:cstheme="majorBidi"/>
          <w:vertAlign w:val="superscript"/>
        </w:rPr>
        <w:t>-1</w:t>
      </w:r>
      <w:r w:rsidRPr="00104BD7">
        <w:rPr>
          <w:rFonts w:asciiTheme="majorBidi" w:hAnsiTheme="majorBidi" w:cstheme="majorBidi"/>
        </w:rPr>
        <w:t>). The lowest soil pH was obtained by C4 (5 ml L</w:t>
      </w:r>
      <w:r w:rsidRPr="00104BD7">
        <w:rPr>
          <w:rFonts w:asciiTheme="majorBidi" w:hAnsiTheme="majorBidi" w:cstheme="majorBidi"/>
          <w:vertAlign w:val="superscript"/>
        </w:rPr>
        <w:t>-1</w:t>
      </w:r>
      <w:r w:rsidRPr="00104BD7">
        <w:rPr>
          <w:rFonts w:asciiTheme="majorBidi" w:hAnsiTheme="majorBidi" w:cstheme="majorBidi"/>
        </w:rPr>
        <w:t>). The availability of phosphorus and micronutrients (Fe, Zn, Cu, B and Mn) was markedly improved by C4 (5 ml L</w:t>
      </w:r>
      <w:r w:rsidRPr="00104BD7">
        <w:rPr>
          <w:rFonts w:asciiTheme="majorBidi" w:hAnsiTheme="majorBidi" w:cstheme="majorBidi"/>
          <w:vertAlign w:val="superscript"/>
        </w:rPr>
        <w:t>-1</w:t>
      </w:r>
      <w:r w:rsidRPr="00275E0B">
        <w:rPr>
          <w:rFonts w:asciiTheme="majorBidi" w:hAnsiTheme="majorBidi" w:cstheme="majorBidi"/>
        </w:rPr>
        <w:t xml:space="preserve">), </w:t>
      </w:r>
      <w:r w:rsidRPr="00275E0B">
        <w:rPr>
          <w:lang w:eastAsia="en-US"/>
        </w:rPr>
        <w:t>and their concentration in plants were also improved particularly in (S2)</w:t>
      </w:r>
      <w:r w:rsidRPr="00275E0B">
        <w:rPr>
          <w:rFonts w:asciiTheme="majorBidi" w:hAnsiTheme="majorBidi" w:cstheme="majorBidi"/>
        </w:rPr>
        <w:t>. As the acid reduces</w:t>
      </w:r>
      <w:r w:rsidRPr="00104BD7">
        <w:rPr>
          <w:rFonts w:asciiTheme="majorBidi" w:hAnsiTheme="majorBidi" w:cstheme="majorBidi"/>
        </w:rPr>
        <w:t xml:space="preserve"> the soil pH temporarily, it would be useful for the elements to be adsorbed by the plant. Consequently, cucumber yield is enhanced, particularly in calcareous soils that have a higher soil pH that restricts the availability of most elements, especially phosphorus.</w:t>
      </w:r>
    </w:p>
    <w:p w:rsidR="00F046FA" w:rsidRDefault="00F046FA" w:rsidP="00EA7180">
      <w:pPr>
        <w:autoSpaceDE w:val="0"/>
        <w:autoSpaceDN w:val="0"/>
        <w:adjustRightInd w:val="0"/>
        <w:ind w:firstLine="284"/>
        <w:jc w:val="both"/>
        <w:rPr>
          <w:rFonts w:asciiTheme="majorBidi" w:hAnsiTheme="majorBidi" w:cstheme="majorBidi"/>
        </w:rPr>
      </w:pPr>
    </w:p>
    <w:p w:rsidR="00F046FA" w:rsidRDefault="00F046FA" w:rsidP="00EA7180">
      <w:pPr>
        <w:pStyle w:val="Acknowledgements"/>
        <w:spacing w:line="480" w:lineRule="auto"/>
        <w:rPr>
          <w:sz w:val="24"/>
        </w:rPr>
      </w:pPr>
      <w:r w:rsidRPr="00104BD7">
        <w:rPr>
          <w:b/>
          <w:bCs/>
          <w:sz w:val="24"/>
        </w:rPr>
        <w:t>Acknowledgements</w:t>
      </w:r>
    </w:p>
    <w:p w:rsidR="00F046FA" w:rsidRDefault="00F046FA" w:rsidP="00EA7180">
      <w:pPr>
        <w:pStyle w:val="Acknowledgements"/>
        <w:spacing w:line="480" w:lineRule="auto"/>
        <w:rPr>
          <w:sz w:val="24"/>
          <w:lang w:val="en-US"/>
        </w:rPr>
      </w:pPr>
      <w:r w:rsidRPr="00104BD7">
        <w:rPr>
          <w:sz w:val="24"/>
          <w:lang w:val="en-US"/>
        </w:rPr>
        <w:t>This research did not receive any specific funding.</w:t>
      </w:r>
    </w:p>
    <w:p w:rsidR="00F046FA" w:rsidRDefault="00F046FA" w:rsidP="00EA7180">
      <w:pPr>
        <w:rPr>
          <w:lang w:val="en-US"/>
        </w:rPr>
      </w:pPr>
    </w:p>
    <w:p w:rsidR="00F046FA" w:rsidRPr="006138E4" w:rsidRDefault="00F046FA" w:rsidP="00EA7180">
      <w:pPr>
        <w:rPr>
          <w:lang w:val="en-US"/>
        </w:rPr>
      </w:pPr>
    </w:p>
    <w:p w:rsidR="00F01586" w:rsidRDefault="00F01586" w:rsidP="00EA7180">
      <w:pPr>
        <w:pStyle w:val="MText"/>
        <w:tabs>
          <w:tab w:val="left" w:pos="2708"/>
        </w:tabs>
        <w:spacing w:before="240" w:line="480" w:lineRule="auto"/>
        <w:ind w:firstLine="0"/>
        <w:jc w:val="center"/>
        <w:rPr>
          <w:b/>
          <w:szCs w:val="24"/>
          <w:lang w:eastAsia="en-US"/>
        </w:rPr>
      </w:pPr>
    </w:p>
    <w:p w:rsidR="00F046FA" w:rsidRPr="00104BD7" w:rsidRDefault="00F046FA" w:rsidP="00F01586">
      <w:pPr>
        <w:pStyle w:val="MText"/>
        <w:tabs>
          <w:tab w:val="left" w:pos="2708"/>
        </w:tabs>
        <w:spacing w:before="240" w:line="480" w:lineRule="auto"/>
        <w:ind w:firstLine="0"/>
        <w:jc w:val="left"/>
        <w:rPr>
          <w:b/>
          <w:szCs w:val="24"/>
          <w:lang w:eastAsia="en-US"/>
        </w:rPr>
      </w:pPr>
      <w:r w:rsidRPr="00104BD7">
        <w:rPr>
          <w:b/>
          <w:szCs w:val="24"/>
          <w:lang w:eastAsia="en-US"/>
        </w:rPr>
        <w:lastRenderedPageBreak/>
        <w:t>References</w:t>
      </w:r>
    </w:p>
    <w:p w:rsidR="00F33C7B" w:rsidRPr="0006223E" w:rsidRDefault="00F33C7B" w:rsidP="00EA7180">
      <w:pPr>
        <w:pStyle w:val="EndNoteBibliography"/>
        <w:spacing w:line="480" w:lineRule="auto"/>
        <w:ind w:left="426" w:hanging="426"/>
      </w:pPr>
      <w:r w:rsidRPr="0006223E">
        <w:t>Ali, F., A. Sadiq, I. Ali, M. Amin and M. Amir</w:t>
      </w:r>
      <w:r w:rsidR="005851CE">
        <w:t>,</w:t>
      </w:r>
      <w:r w:rsidRPr="0006223E">
        <w:t xml:space="preserve"> 2014. Effect of </w:t>
      </w:r>
      <w:r w:rsidR="002E26E0" w:rsidRPr="0006223E">
        <w:t>applied phosphorus on the availability of micronutrients in alkaline-calcareous soil</w:t>
      </w:r>
      <w:r w:rsidRPr="0006223E">
        <w:t>. Enviro</w:t>
      </w:r>
      <w:r w:rsidR="00F100D6">
        <w:t>n.</w:t>
      </w:r>
      <w:r w:rsidRPr="0006223E">
        <w:t xml:space="preserve"> Earth Sci</w:t>
      </w:r>
      <w:r w:rsidR="00F100D6">
        <w:t>.</w:t>
      </w:r>
      <w:r w:rsidRPr="0006223E">
        <w:t xml:space="preserve"> 4: 143-147.</w:t>
      </w:r>
    </w:p>
    <w:p w:rsidR="00F33C7B" w:rsidRPr="0006223E" w:rsidRDefault="00F33C7B" w:rsidP="00EA7180">
      <w:pPr>
        <w:pStyle w:val="EndNoteBibliography"/>
        <w:spacing w:line="480" w:lineRule="auto"/>
        <w:ind w:left="426" w:hanging="426"/>
      </w:pPr>
      <w:r w:rsidRPr="0006223E">
        <w:t>Anderson, D.L. and L.J. Henderson</w:t>
      </w:r>
      <w:r w:rsidR="005851CE">
        <w:t>,</w:t>
      </w:r>
      <w:r w:rsidRPr="0006223E">
        <w:t xml:space="preserve"> 1986. Sealed </w:t>
      </w:r>
      <w:r w:rsidR="002E26E0" w:rsidRPr="0006223E">
        <w:t>chamber digestion for plant nutrient analysis</w:t>
      </w:r>
      <w:r w:rsidRPr="0006223E">
        <w:t>. Agronomy J</w:t>
      </w:r>
      <w:r w:rsidR="00F64E36">
        <w:t xml:space="preserve">. </w:t>
      </w:r>
      <w:r w:rsidRPr="0006223E">
        <w:t>78: 937-939.</w:t>
      </w:r>
    </w:p>
    <w:p w:rsidR="00F33C7B" w:rsidRPr="0006223E" w:rsidRDefault="00F33C7B" w:rsidP="00EA7180">
      <w:pPr>
        <w:pStyle w:val="EndNoteBibliography"/>
        <w:spacing w:line="480" w:lineRule="auto"/>
        <w:ind w:left="426" w:hanging="426"/>
      </w:pPr>
      <w:r w:rsidRPr="0006223E">
        <w:t>Bajgiran, A.R. 2013. Influence of Soil Amendments and Soil Properties on Macro–and Micronutrient Availability to Microorganisms and Plants. Swedish University of Agricultural Sciences, Uppsala.</w:t>
      </w:r>
    </w:p>
    <w:p w:rsidR="00F33C7B" w:rsidRPr="0006223E" w:rsidRDefault="00F33C7B" w:rsidP="00EA7180">
      <w:pPr>
        <w:pStyle w:val="EndNoteBibliography"/>
        <w:spacing w:line="480" w:lineRule="auto"/>
        <w:ind w:left="426" w:hanging="426"/>
      </w:pPr>
      <w:r w:rsidRPr="0006223E">
        <w:t>Barber, S.A.</w:t>
      </w:r>
      <w:r w:rsidR="005851CE">
        <w:t>,</w:t>
      </w:r>
      <w:r w:rsidRPr="0006223E">
        <w:t xml:space="preserve"> 1995. Soil Nutrient Bioavailability. 2 ed. John Wiley and Sons, New York, USA.</w:t>
      </w:r>
    </w:p>
    <w:p w:rsidR="00F33C7B" w:rsidRPr="0006223E" w:rsidRDefault="00F33C7B" w:rsidP="00EA7180">
      <w:pPr>
        <w:pStyle w:val="EndNoteBibliography"/>
        <w:spacing w:line="480" w:lineRule="auto"/>
        <w:ind w:left="426" w:hanging="426"/>
      </w:pPr>
      <w:r w:rsidRPr="0006223E">
        <w:t>Blanchard, C., D.E. Wells, J.M. Pickens and D.M. Blersch</w:t>
      </w:r>
      <w:r w:rsidR="005851CE">
        <w:t>,</w:t>
      </w:r>
      <w:r w:rsidRPr="0006223E">
        <w:t xml:space="preserve"> 2020. Effect of pH on </w:t>
      </w:r>
      <w:r w:rsidR="002E26E0" w:rsidRPr="0006223E">
        <w:t>cucumber growth and nutrient availability in a decoupled aquaponic system with minimal solids removal</w:t>
      </w:r>
      <w:r w:rsidRPr="0006223E">
        <w:t xml:space="preserve">. Horticulturae 6. </w:t>
      </w:r>
    </w:p>
    <w:p w:rsidR="00F33C7B" w:rsidRPr="0006223E" w:rsidRDefault="00F33C7B" w:rsidP="00EA7180">
      <w:pPr>
        <w:pStyle w:val="EndNoteBibliography"/>
        <w:spacing w:line="480" w:lineRule="auto"/>
        <w:ind w:left="426" w:hanging="426"/>
      </w:pPr>
      <w:r w:rsidRPr="0006223E">
        <w:t>Chukwuma, M.C., E.T. Eshett, E.U. Onweremadu and M.A. Okon</w:t>
      </w:r>
      <w:r w:rsidR="005851CE">
        <w:t>,</w:t>
      </w:r>
      <w:r w:rsidRPr="0006223E">
        <w:t xml:space="preserve"> 2010. Zinc </w:t>
      </w:r>
      <w:r w:rsidR="002E26E0" w:rsidRPr="0006223E">
        <w:t>availability in relation to selected soil properties in a crude oil polluted eutric tropofluvent</w:t>
      </w:r>
      <w:r w:rsidRPr="0006223E">
        <w:t>. Int</w:t>
      </w:r>
      <w:r w:rsidR="004C6183">
        <w:t>.</w:t>
      </w:r>
      <w:r w:rsidRPr="0006223E">
        <w:t xml:space="preserve"> J</w:t>
      </w:r>
      <w:r w:rsidR="004C6183">
        <w:t>.</w:t>
      </w:r>
      <w:r w:rsidRPr="0006223E">
        <w:t xml:space="preserve"> Environ</w:t>
      </w:r>
      <w:r w:rsidR="004C6183">
        <w:t>.</w:t>
      </w:r>
      <w:r w:rsidRPr="0006223E">
        <w:t xml:space="preserve"> Sci</w:t>
      </w:r>
      <w:r w:rsidR="004C6183">
        <w:t>.</w:t>
      </w:r>
      <w:r w:rsidRPr="0006223E">
        <w:t>Techno</w:t>
      </w:r>
      <w:r w:rsidR="004C6183">
        <w:t>l.</w:t>
      </w:r>
      <w:r w:rsidRPr="0006223E">
        <w:t xml:space="preserve"> 7: 261-270.</w:t>
      </w:r>
    </w:p>
    <w:p w:rsidR="00F33C7B" w:rsidRPr="0006223E" w:rsidRDefault="00F33C7B" w:rsidP="00800652">
      <w:pPr>
        <w:pStyle w:val="EndNoteBibliography"/>
        <w:spacing w:line="480" w:lineRule="auto"/>
        <w:ind w:left="426" w:hanging="426"/>
      </w:pPr>
      <w:r w:rsidRPr="0006223E">
        <w:t xml:space="preserve">Duchovskis, P., A. Brazaitytė, R. Juknys, I. Januškaitienė, A. Sliesaravičius, A. Ramaškevičienė, </w:t>
      </w:r>
      <w:r w:rsidR="00800652" w:rsidRPr="00800652">
        <w:t>N. Burbulis, J. B. Šikšnianienė, K. Baranauskis, L. Duchovskienė, V. Stanys and C. Bobina</w:t>
      </w:r>
      <w:bookmarkStart w:id="0" w:name="_GoBack"/>
      <w:bookmarkEnd w:id="0"/>
      <w:r w:rsidR="00800652" w:rsidRPr="00800652">
        <w:t>s</w:t>
      </w:r>
      <w:r w:rsidRPr="00800652">
        <w:t>.</w:t>
      </w:r>
      <w:r w:rsidRPr="005851CE">
        <w:rPr>
          <w:color w:val="FF0000"/>
        </w:rPr>
        <w:t xml:space="preserve"> </w:t>
      </w:r>
      <w:r w:rsidRPr="0006223E">
        <w:t xml:space="preserve">2006. Changes of </w:t>
      </w:r>
      <w:r w:rsidR="002E26E0" w:rsidRPr="0006223E">
        <w:t xml:space="preserve">physiological and genetic indices of </w:t>
      </w:r>
      <w:r w:rsidR="002E26E0" w:rsidRPr="002E26E0">
        <w:rPr>
          <w:i/>
          <w:iCs/>
        </w:rPr>
        <w:t>Lycopersicon esculentum</w:t>
      </w:r>
      <w:r w:rsidR="002E26E0" w:rsidRPr="0006223E">
        <w:t xml:space="preserve"> mill. by cadmium under different acidicity and nutrition</w:t>
      </w:r>
      <w:r w:rsidRPr="0006223E">
        <w:t>. Pol</w:t>
      </w:r>
      <w:r w:rsidR="00D74611">
        <w:t>.</w:t>
      </w:r>
      <w:r w:rsidRPr="0006223E">
        <w:t xml:space="preserve"> J</w:t>
      </w:r>
      <w:r w:rsidR="00D74611">
        <w:t>.</w:t>
      </w:r>
      <w:r w:rsidRPr="0006223E">
        <w:t xml:space="preserve"> Environ</w:t>
      </w:r>
      <w:r w:rsidR="00D74611">
        <w:t>.</w:t>
      </w:r>
      <w:r w:rsidRPr="0006223E">
        <w:t xml:space="preserve"> Stud</w:t>
      </w:r>
      <w:r w:rsidR="00D74611">
        <w:t>.</w:t>
      </w:r>
      <w:r w:rsidRPr="0006223E">
        <w:t xml:space="preserve"> 15: 235-242.</w:t>
      </w:r>
    </w:p>
    <w:p w:rsidR="00F33C7B" w:rsidRPr="0006223E" w:rsidRDefault="00F33C7B" w:rsidP="00EA7180">
      <w:pPr>
        <w:pStyle w:val="EndNoteBibliography"/>
        <w:spacing w:line="480" w:lineRule="auto"/>
        <w:ind w:left="426" w:hanging="426"/>
      </w:pPr>
      <w:r w:rsidRPr="0006223E">
        <w:t>Esmail, A.O., S.M. Sheikh-Abdullah and M.T. Maruf</w:t>
      </w:r>
      <w:r w:rsidR="00926E27">
        <w:t>,</w:t>
      </w:r>
      <w:r w:rsidRPr="0006223E">
        <w:t xml:space="preserve"> 2019. Phosphorus </w:t>
      </w:r>
      <w:r w:rsidR="002E26E0" w:rsidRPr="0006223E">
        <w:t>availability in entisols, inceptisols, and mollisols</w:t>
      </w:r>
      <w:r w:rsidRPr="0006223E">
        <w:t xml:space="preserve"> of Iraqi Kurdistan. Soil Sci</w:t>
      </w:r>
      <w:r w:rsidR="00246162">
        <w:t>.</w:t>
      </w:r>
      <w:r w:rsidRPr="0006223E">
        <w:t xml:space="preserve"> 184: 95-100. </w:t>
      </w:r>
    </w:p>
    <w:p w:rsidR="00F33C7B" w:rsidRPr="0006223E" w:rsidRDefault="00F33C7B" w:rsidP="00EA7180">
      <w:pPr>
        <w:pStyle w:val="EndNoteBibliography"/>
        <w:spacing w:line="480" w:lineRule="auto"/>
        <w:ind w:left="426" w:hanging="426"/>
      </w:pPr>
      <w:r w:rsidRPr="0006223E">
        <w:lastRenderedPageBreak/>
        <w:t>Fageria, N.K.</w:t>
      </w:r>
      <w:r w:rsidR="00926E27">
        <w:t>,</w:t>
      </w:r>
      <w:r w:rsidRPr="0006223E">
        <w:t xml:space="preserve"> 2012. Role of </w:t>
      </w:r>
      <w:r w:rsidR="00657D35" w:rsidRPr="0006223E">
        <w:t>soil organic matter in maintaining sustainability of cropping systems</w:t>
      </w:r>
      <w:r w:rsidRPr="0006223E">
        <w:t>. Commun</w:t>
      </w:r>
      <w:r w:rsidR="00C33C82">
        <w:t>.</w:t>
      </w:r>
      <w:r w:rsidRPr="0006223E">
        <w:t xml:space="preserve"> Soil Sci</w:t>
      </w:r>
      <w:r w:rsidR="00C33C82">
        <w:t xml:space="preserve">. </w:t>
      </w:r>
      <w:r w:rsidRPr="0006223E">
        <w:t>Plan</w:t>
      </w:r>
      <w:r w:rsidR="00C33C82">
        <w:t>.</w:t>
      </w:r>
      <w:r w:rsidRPr="0006223E">
        <w:t xml:space="preserve"> 43: 2063-2113. </w:t>
      </w:r>
    </w:p>
    <w:p w:rsidR="00F33C7B" w:rsidRPr="0006223E" w:rsidRDefault="00F33C7B" w:rsidP="00EA7180">
      <w:pPr>
        <w:pStyle w:val="EndNoteBibliography"/>
        <w:spacing w:line="480" w:lineRule="auto"/>
        <w:ind w:left="426" w:hanging="426"/>
      </w:pPr>
      <w:r w:rsidRPr="0006223E">
        <w:t>Ghehsareh, A.M. and N. Samadi</w:t>
      </w:r>
      <w:r w:rsidR="00926E27">
        <w:t>,</w:t>
      </w:r>
      <w:r w:rsidRPr="0006223E">
        <w:t xml:space="preserve"> 2012. Effect of soil acidification on growth indices and microelements uptake by greenhouse cucumber. Afr</w:t>
      </w:r>
      <w:r w:rsidR="0078746B">
        <w:t>.</w:t>
      </w:r>
      <w:r w:rsidRPr="0006223E">
        <w:t xml:space="preserve"> J</w:t>
      </w:r>
      <w:r w:rsidR="0078746B">
        <w:t>.</w:t>
      </w:r>
      <w:r w:rsidRPr="0006223E">
        <w:t xml:space="preserve"> Agric</w:t>
      </w:r>
      <w:r w:rsidR="0078746B">
        <w:t>.</w:t>
      </w:r>
      <w:r w:rsidRPr="0006223E">
        <w:t xml:space="preserve"> Res</w:t>
      </w:r>
      <w:r w:rsidR="0078746B">
        <w:t>.</w:t>
      </w:r>
      <w:r w:rsidRPr="0006223E">
        <w:t xml:space="preserve"> 7: 1659-1665. </w:t>
      </w:r>
    </w:p>
    <w:p w:rsidR="00F33C7B" w:rsidRPr="0006223E" w:rsidRDefault="00F33C7B" w:rsidP="00EA7180">
      <w:pPr>
        <w:pStyle w:val="EndNoteBibliography"/>
        <w:spacing w:line="480" w:lineRule="auto"/>
        <w:ind w:left="426" w:hanging="426"/>
      </w:pPr>
      <w:r w:rsidRPr="0006223E">
        <w:t>Groenendyk, D.G., T.P. Ferre, K.R. Thorp and A.K. Rice</w:t>
      </w:r>
      <w:r w:rsidR="00926E27">
        <w:t>,</w:t>
      </w:r>
      <w:r w:rsidRPr="0006223E">
        <w:t xml:space="preserve"> 2015. Hydrologic-Process-Based </w:t>
      </w:r>
      <w:r w:rsidR="00657D35" w:rsidRPr="0006223E">
        <w:t>soil texture classifications for improved visualization of landscape function</w:t>
      </w:r>
      <w:r w:rsidRPr="0006223E">
        <w:t xml:space="preserve">. PLoS One 10. </w:t>
      </w:r>
    </w:p>
    <w:p w:rsidR="00F33C7B" w:rsidRPr="0006223E" w:rsidRDefault="00F33C7B" w:rsidP="00EA7180">
      <w:pPr>
        <w:pStyle w:val="EndNoteBibliography"/>
        <w:spacing w:line="480" w:lineRule="auto"/>
        <w:ind w:left="426" w:hanging="426"/>
      </w:pPr>
      <w:r w:rsidRPr="0006223E">
        <w:t>Khorsandi, F.</w:t>
      </w:r>
      <w:r w:rsidR="00926E27">
        <w:t>,</w:t>
      </w:r>
      <w:r w:rsidRPr="0006223E">
        <w:t xml:space="preserve"> 1994. Sulfuric acid effects on iron and phosphorus availability in two calcareous soils. J</w:t>
      </w:r>
      <w:r w:rsidR="001F065E">
        <w:t xml:space="preserve">. </w:t>
      </w:r>
      <w:r w:rsidRPr="0006223E">
        <w:t>Plan</w:t>
      </w:r>
      <w:r w:rsidR="001F065E">
        <w:t>.</w:t>
      </w:r>
      <w:r w:rsidRPr="0006223E">
        <w:t xml:space="preserve"> Nutr</w:t>
      </w:r>
      <w:r w:rsidR="001F065E">
        <w:t>.</w:t>
      </w:r>
      <w:r w:rsidRPr="0006223E">
        <w:t xml:space="preserve"> 17: 1611-1623. </w:t>
      </w:r>
    </w:p>
    <w:p w:rsidR="00F33C7B" w:rsidRPr="0006223E" w:rsidRDefault="00F33C7B" w:rsidP="00EA7180">
      <w:pPr>
        <w:pStyle w:val="EndNoteBibliography"/>
        <w:spacing w:line="480" w:lineRule="auto"/>
        <w:ind w:left="426" w:hanging="426"/>
      </w:pPr>
      <w:r w:rsidRPr="0006223E">
        <w:t>Kreij, D.C., C. Sonneveld, M.N. Warmenhoven and N. Straver</w:t>
      </w:r>
      <w:r w:rsidR="00926E27">
        <w:t>.</w:t>
      </w:r>
      <w:r w:rsidRPr="0006223E">
        <w:t xml:space="preserve"> 1992. Guide Values for Nutrient Element Contents of Vegetables and Flowers Under Glass. 3 ed., Naaldwijk, Aalsmeer, Netherlands </w:t>
      </w:r>
    </w:p>
    <w:p w:rsidR="00F33C7B" w:rsidRPr="0006223E" w:rsidRDefault="00F33C7B" w:rsidP="00EA7180">
      <w:pPr>
        <w:pStyle w:val="EndNoteBibliography"/>
        <w:spacing w:line="480" w:lineRule="auto"/>
        <w:ind w:left="426" w:hanging="426"/>
      </w:pPr>
      <w:r w:rsidRPr="0006223E">
        <w:t>Lindsay, W.L. and W.A. Norvell</w:t>
      </w:r>
      <w:r w:rsidR="00926E27">
        <w:t>,</w:t>
      </w:r>
      <w:r w:rsidRPr="0006223E">
        <w:t xml:space="preserve"> 1978. Development of DTPA </w:t>
      </w:r>
      <w:r w:rsidR="00530BD9" w:rsidRPr="0006223E">
        <w:t>micronutrient soil test for zinc, iron, manganese and copper.</w:t>
      </w:r>
      <w:r w:rsidRPr="0006223E">
        <w:t xml:space="preserve"> Soil Sci</w:t>
      </w:r>
      <w:r w:rsidR="001F065E">
        <w:t xml:space="preserve">. </w:t>
      </w:r>
      <w:r w:rsidRPr="0006223E">
        <w:t>Soc</w:t>
      </w:r>
      <w:r w:rsidR="001F065E">
        <w:t>.</w:t>
      </w:r>
      <w:r w:rsidRPr="0006223E">
        <w:t xml:space="preserve"> Am</w:t>
      </w:r>
      <w:r w:rsidR="001F065E">
        <w:t>.</w:t>
      </w:r>
      <w:r w:rsidRPr="0006223E">
        <w:t xml:space="preserve"> Proc</w:t>
      </w:r>
      <w:r w:rsidR="001F065E">
        <w:t>.</w:t>
      </w:r>
      <w:r w:rsidRPr="0006223E">
        <w:t xml:space="preserve"> 42: 421-428.</w:t>
      </w:r>
    </w:p>
    <w:p w:rsidR="00F33C7B" w:rsidRPr="0006223E" w:rsidRDefault="00F33C7B" w:rsidP="00EA7180">
      <w:pPr>
        <w:pStyle w:val="EndNoteBibliography"/>
        <w:spacing w:line="480" w:lineRule="auto"/>
        <w:ind w:left="426" w:hanging="426"/>
      </w:pPr>
      <w:r w:rsidRPr="0006223E">
        <w:t>Maboko, M.M., C.P. Du Plooy and S. Chiloane</w:t>
      </w:r>
      <w:r w:rsidR="00926E27">
        <w:t>,</w:t>
      </w:r>
      <w:r w:rsidRPr="0006223E">
        <w:t xml:space="preserve"> 2017. Yield and </w:t>
      </w:r>
      <w:r w:rsidR="00530BD9" w:rsidRPr="0006223E">
        <w:t>mineral content of hydroponically grown mini-cucumber</w:t>
      </w:r>
      <w:r w:rsidRPr="0006223E">
        <w:t xml:space="preserve"> (</w:t>
      </w:r>
      <w:r w:rsidRPr="00530BD9">
        <w:rPr>
          <w:i/>
          <w:iCs/>
        </w:rPr>
        <w:t>Cucumis sativus</w:t>
      </w:r>
      <w:r w:rsidRPr="0006223E">
        <w:t xml:space="preserve"> L.) as </w:t>
      </w:r>
      <w:r w:rsidR="00530BD9" w:rsidRPr="0006223E">
        <w:t>affected by reduced nutrient concentration and foliar fertilizer application</w:t>
      </w:r>
      <w:r w:rsidRPr="0006223E">
        <w:t xml:space="preserve">. HortScience 52: 1728-1733. </w:t>
      </w:r>
    </w:p>
    <w:p w:rsidR="00F33C7B" w:rsidRPr="0006223E" w:rsidRDefault="00F33C7B" w:rsidP="00EA7180">
      <w:pPr>
        <w:pStyle w:val="EndNoteBibliography"/>
        <w:spacing w:line="480" w:lineRule="auto"/>
        <w:ind w:left="426" w:hanging="426"/>
      </w:pPr>
      <w:r w:rsidRPr="0006223E">
        <w:t>Mam-Rasul, G.A.</w:t>
      </w:r>
      <w:r w:rsidR="00926E27">
        <w:t>,</w:t>
      </w:r>
      <w:r w:rsidRPr="0006223E">
        <w:t xml:space="preserve"> 2019. Zinc </w:t>
      </w:r>
      <w:r w:rsidR="009951F2" w:rsidRPr="0006223E">
        <w:t>sorption in calcareous soils of the</w:t>
      </w:r>
      <w:r w:rsidRPr="0006223E">
        <w:t xml:space="preserve"> Kurdistan Region of Iraq. Soil Sci</w:t>
      </w:r>
      <w:r w:rsidR="001733D7">
        <w:t>.</w:t>
      </w:r>
      <w:r w:rsidRPr="0006223E">
        <w:t xml:space="preserve"> 184: 60-68. </w:t>
      </w:r>
    </w:p>
    <w:p w:rsidR="00F33C7B" w:rsidRPr="0006223E" w:rsidRDefault="00F33C7B" w:rsidP="00EA7180">
      <w:pPr>
        <w:pStyle w:val="EndNoteBibliography"/>
        <w:spacing w:line="480" w:lineRule="auto"/>
        <w:ind w:left="426" w:hanging="426"/>
      </w:pPr>
      <w:r w:rsidRPr="0006223E">
        <w:t>Maruf, M.T. and G.A. Mam Rasul</w:t>
      </w:r>
      <w:r w:rsidR="00926E27">
        <w:t>,</w:t>
      </w:r>
      <w:r w:rsidRPr="0006223E">
        <w:t xml:space="preserve"> 2019. Effect </w:t>
      </w:r>
      <w:r w:rsidR="009951F2" w:rsidRPr="0006223E">
        <w:t>of humic acid and sulfur fertilizer levels on some physiological traits of maize</w:t>
      </w:r>
      <w:r w:rsidRPr="0006223E">
        <w:t xml:space="preserve"> (</w:t>
      </w:r>
      <w:r w:rsidRPr="009951F2">
        <w:rPr>
          <w:i/>
          <w:iCs/>
        </w:rPr>
        <w:t xml:space="preserve">Zea </w:t>
      </w:r>
      <w:r w:rsidR="009951F2" w:rsidRPr="009951F2">
        <w:rPr>
          <w:i/>
          <w:iCs/>
        </w:rPr>
        <w:t>m</w:t>
      </w:r>
      <w:r w:rsidRPr="009951F2">
        <w:rPr>
          <w:i/>
          <w:iCs/>
        </w:rPr>
        <w:t>ays</w:t>
      </w:r>
      <w:r w:rsidR="009951F2">
        <w:t xml:space="preserve"> L</w:t>
      </w:r>
      <w:r w:rsidRPr="0006223E">
        <w:t xml:space="preserve">.) </w:t>
      </w:r>
      <w:r w:rsidR="009951F2" w:rsidRPr="0006223E">
        <w:t>on calcareous soil</w:t>
      </w:r>
      <w:r w:rsidRPr="0006223E">
        <w:t>. Appl</w:t>
      </w:r>
      <w:r w:rsidR="001733D7">
        <w:t xml:space="preserve">. </w:t>
      </w:r>
      <w:r w:rsidRPr="0006223E">
        <w:t>Eco</w:t>
      </w:r>
      <w:r w:rsidR="004C0E4E">
        <w:t>l</w:t>
      </w:r>
      <w:r w:rsidR="001733D7">
        <w:t xml:space="preserve">. </w:t>
      </w:r>
      <w:r w:rsidRPr="0006223E">
        <w:t>Environ</w:t>
      </w:r>
      <w:r w:rsidR="001733D7">
        <w:t>.</w:t>
      </w:r>
      <w:r w:rsidRPr="0006223E">
        <w:t xml:space="preserve"> Res</w:t>
      </w:r>
      <w:r w:rsidR="001733D7">
        <w:t>.</w:t>
      </w:r>
      <w:r w:rsidRPr="0006223E">
        <w:t xml:space="preserve"> 17: 13199-13217.</w:t>
      </w:r>
    </w:p>
    <w:p w:rsidR="00F33C7B" w:rsidRPr="0006223E" w:rsidRDefault="00F33C7B" w:rsidP="00EA7180">
      <w:pPr>
        <w:pStyle w:val="EndNoteBibliography"/>
        <w:spacing w:line="480" w:lineRule="auto"/>
        <w:ind w:left="426" w:hanging="426"/>
      </w:pPr>
      <w:r w:rsidRPr="0006223E">
        <w:lastRenderedPageBreak/>
        <w:t>Metwally, A.I., A.S. Mashhady, A.M. Falatah and M. Reda</w:t>
      </w:r>
      <w:r w:rsidR="00926E27">
        <w:t>,</w:t>
      </w:r>
      <w:r w:rsidRPr="0006223E">
        <w:t xml:space="preserve"> 1993. Effect of pH on </w:t>
      </w:r>
      <w:r w:rsidR="009951F2" w:rsidRPr="0006223E">
        <w:t>zinc adsorption and solubility in suspensions of</w:t>
      </w:r>
      <w:r w:rsidR="009951F2">
        <w:t xml:space="preserve"> </w:t>
      </w:r>
      <w:r w:rsidR="009951F2" w:rsidRPr="0006223E">
        <w:t>different clays and soils</w:t>
      </w:r>
      <w:r w:rsidRPr="0006223E">
        <w:t>. Zeitschrift für Pflanzenernährung und Bodenkunde 156: 131-135.</w:t>
      </w:r>
    </w:p>
    <w:p w:rsidR="00F33C7B" w:rsidRPr="0006223E" w:rsidRDefault="00F33C7B" w:rsidP="00EA7180">
      <w:pPr>
        <w:pStyle w:val="EndNoteBibliography"/>
        <w:spacing w:line="480" w:lineRule="auto"/>
        <w:ind w:left="426" w:hanging="426"/>
      </w:pPr>
      <w:r w:rsidRPr="0006223E">
        <w:t xml:space="preserve">Mousavi, S.R., M. Shahsavari and M. Rezaei. 2011. A General </w:t>
      </w:r>
      <w:r w:rsidR="009951F2" w:rsidRPr="0006223E">
        <w:t>overview on manganese</w:t>
      </w:r>
      <w:r w:rsidRPr="0006223E">
        <w:t xml:space="preserve"> (Mn) </w:t>
      </w:r>
      <w:r w:rsidR="009951F2" w:rsidRPr="0006223E">
        <w:t>importance for crops production</w:t>
      </w:r>
      <w:r w:rsidRPr="0006223E">
        <w:t>. Aust</w:t>
      </w:r>
      <w:r w:rsidR="004C0E4E">
        <w:t xml:space="preserve">. </w:t>
      </w:r>
      <w:r w:rsidRPr="0006223E">
        <w:t>J</w:t>
      </w:r>
      <w:r w:rsidR="004C0E4E">
        <w:t>.</w:t>
      </w:r>
      <w:r w:rsidRPr="0006223E">
        <w:t xml:space="preserve"> Basic Appl</w:t>
      </w:r>
      <w:r w:rsidR="004C0E4E">
        <w:t>.</w:t>
      </w:r>
      <w:r w:rsidRPr="0006223E">
        <w:t xml:space="preserve"> Sci</w:t>
      </w:r>
      <w:r w:rsidR="004C0E4E">
        <w:t>.</w:t>
      </w:r>
      <w:r w:rsidRPr="0006223E">
        <w:t xml:space="preserve"> 5: 1799-1803.</w:t>
      </w:r>
    </w:p>
    <w:p w:rsidR="00F33C7B" w:rsidRPr="0006223E" w:rsidRDefault="00F33C7B" w:rsidP="00EA7180">
      <w:pPr>
        <w:pStyle w:val="EndNoteBibliography"/>
        <w:spacing w:line="480" w:lineRule="auto"/>
        <w:ind w:left="426" w:hanging="426"/>
      </w:pPr>
      <w:r w:rsidRPr="0006223E">
        <w:t>Najafi-Ghiri, M., R. Ghasemi-Fasaei and E. Farrokhnejad</w:t>
      </w:r>
      <w:r w:rsidR="00926E27">
        <w:t>,</w:t>
      </w:r>
      <w:r w:rsidRPr="0006223E">
        <w:t xml:space="preserve"> 2013. Factors </w:t>
      </w:r>
      <w:r w:rsidR="009951F2" w:rsidRPr="0006223E">
        <w:t>affecting micronutrient availability in calcareous soils of s</w:t>
      </w:r>
      <w:r w:rsidRPr="0006223E">
        <w:t>outhern Iran. Arid Land Res Manag</w:t>
      </w:r>
      <w:r w:rsidR="004C0E4E">
        <w:t>.</w:t>
      </w:r>
      <w:r w:rsidRPr="0006223E">
        <w:t xml:space="preserve"> 27: 203-215. </w:t>
      </w:r>
    </w:p>
    <w:p w:rsidR="00F33C7B" w:rsidRPr="0006223E" w:rsidRDefault="00F33C7B" w:rsidP="00EA7180">
      <w:pPr>
        <w:pStyle w:val="EndNoteBibliography"/>
        <w:spacing w:line="480" w:lineRule="auto"/>
        <w:ind w:left="426" w:hanging="426"/>
      </w:pPr>
      <w:r w:rsidRPr="0006223E">
        <w:t>Ramírez-Pérez, L., A. Morales-Díaz, K. de Alba-Romenus, S. González-Morales, A. Benavides-Mendoza and A. Juárez-Maldonado</w:t>
      </w:r>
      <w:r w:rsidR="00926E27">
        <w:t>,</w:t>
      </w:r>
      <w:r w:rsidRPr="0006223E">
        <w:t xml:space="preserve"> 2017. Determination of </w:t>
      </w:r>
      <w:r w:rsidR="009951F2" w:rsidRPr="0006223E">
        <w:t>micronutrient accumulation in greenhouse cucumber crop using a modeling approach</w:t>
      </w:r>
      <w:r w:rsidRPr="0006223E">
        <w:t xml:space="preserve">. Agronomy 7. </w:t>
      </w:r>
    </w:p>
    <w:p w:rsidR="00F33C7B" w:rsidRPr="0006223E" w:rsidRDefault="00F33C7B" w:rsidP="00EA7180">
      <w:pPr>
        <w:pStyle w:val="EndNoteBibliography"/>
        <w:spacing w:line="480" w:lineRule="auto"/>
        <w:ind w:left="426" w:hanging="426"/>
      </w:pPr>
      <w:r w:rsidRPr="0006223E">
        <w:t>Rate, A.W. and S.M. Sheikh-Abdullah</w:t>
      </w:r>
      <w:r w:rsidR="00926E27">
        <w:t>,</w:t>
      </w:r>
      <w:r w:rsidRPr="0006223E">
        <w:t xml:space="preserve"> 2017. The geochemistry of calcareous forest soils in Sulaimani Governorate, Kurdistan Region, Iraq. Geoderma 289: 54-65. </w:t>
      </w:r>
    </w:p>
    <w:p w:rsidR="00F33C7B" w:rsidRPr="0006223E" w:rsidRDefault="00F33C7B" w:rsidP="00EA7180">
      <w:pPr>
        <w:pStyle w:val="EndNoteBibliography"/>
        <w:spacing w:line="480" w:lineRule="auto"/>
        <w:ind w:left="426" w:hanging="426"/>
      </w:pPr>
      <w:r w:rsidRPr="0006223E">
        <w:t>Rengel, Z.</w:t>
      </w:r>
      <w:r w:rsidR="00926E27">
        <w:t>,</w:t>
      </w:r>
      <w:r w:rsidRPr="0006223E">
        <w:t xml:space="preserve"> 2015. Availability of Mn, Zn and Fe in the rhizosphere. J</w:t>
      </w:r>
      <w:r w:rsidR="00342929">
        <w:t>.</w:t>
      </w:r>
      <w:r w:rsidRPr="0006223E">
        <w:t xml:space="preserve"> Soil Sci</w:t>
      </w:r>
      <w:r w:rsidR="00342929">
        <w:t>.</w:t>
      </w:r>
      <w:r w:rsidRPr="0006223E">
        <w:t xml:space="preserve"> Plant Nutr</w:t>
      </w:r>
      <w:r w:rsidR="00342929">
        <w:t>.</w:t>
      </w:r>
      <w:r w:rsidRPr="0006223E">
        <w:t xml:space="preserve"> 15: 397-409.</w:t>
      </w:r>
    </w:p>
    <w:p w:rsidR="00F33C7B" w:rsidRPr="0006223E" w:rsidRDefault="00F33C7B" w:rsidP="00EA7180">
      <w:pPr>
        <w:pStyle w:val="EndNoteBibliography"/>
        <w:spacing w:line="480" w:lineRule="auto"/>
        <w:ind w:left="426" w:hanging="426"/>
      </w:pPr>
      <w:r w:rsidRPr="0006223E">
        <w:t>Renner, S.S., H. Schaefer and A. Kocyan</w:t>
      </w:r>
      <w:r w:rsidR="00926E27">
        <w:t>,</w:t>
      </w:r>
      <w:r w:rsidRPr="0006223E">
        <w:t xml:space="preserve"> 2007. Phylogenetics of </w:t>
      </w:r>
      <w:r w:rsidRPr="00DC4ABD">
        <w:rPr>
          <w:i/>
          <w:iCs/>
        </w:rPr>
        <w:t>Cucumis</w:t>
      </w:r>
      <w:r w:rsidRPr="0006223E">
        <w:t xml:space="preserve"> (Cucurbitaceae): cucumber (</w:t>
      </w:r>
      <w:r w:rsidRPr="00DC4ABD">
        <w:rPr>
          <w:i/>
          <w:iCs/>
        </w:rPr>
        <w:t>C. sativus</w:t>
      </w:r>
      <w:r w:rsidRPr="0006223E">
        <w:t>) belongs in an Asian/Australian clade far from melon (</w:t>
      </w:r>
      <w:r w:rsidRPr="00DC4ABD">
        <w:rPr>
          <w:i/>
          <w:iCs/>
        </w:rPr>
        <w:t>C. melo</w:t>
      </w:r>
      <w:r w:rsidRPr="0006223E">
        <w:t>). BMC Evol</w:t>
      </w:r>
      <w:r w:rsidR="000F00F4">
        <w:t>.</w:t>
      </w:r>
      <w:r w:rsidRPr="0006223E">
        <w:t xml:space="preserve"> Biol</w:t>
      </w:r>
      <w:r w:rsidR="000F00F4">
        <w:t>.</w:t>
      </w:r>
      <w:r w:rsidRPr="0006223E">
        <w:t xml:space="preserve"> 7: 58. </w:t>
      </w:r>
    </w:p>
    <w:p w:rsidR="00F33C7B" w:rsidRPr="0006223E" w:rsidRDefault="00F33C7B" w:rsidP="00EA7180">
      <w:pPr>
        <w:pStyle w:val="EndNoteBibliography"/>
        <w:spacing w:line="480" w:lineRule="auto"/>
        <w:ind w:left="426" w:hanging="426"/>
      </w:pPr>
      <w:r w:rsidRPr="0006223E">
        <w:t>Rutkowska, B., W. Szulc, T. Sosulski and W. Stępień</w:t>
      </w:r>
      <w:r w:rsidR="00926E27">
        <w:t>,</w:t>
      </w:r>
      <w:r w:rsidRPr="0006223E">
        <w:t xml:space="preserve"> 2014. Soil micronutrient availability to crops affected by long-term inorganic and organic fertilizer applications. Plan</w:t>
      </w:r>
      <w:r w:rsidR="002C784B">
        <w:t>.</w:t>
      </w:r>
      <w:r w:rsidRPr="0006223E">
        <w:t xml:space="preserve"> Soil  Environ</w:t>
      </w:r>
      <w:r w:rsidR="002C784B">
        <w:t>.</w:t>
      </w:r>
      <w:r w:rsidRPr="0006223E">
        <w:t xml:space="preserve"> 60: 198-203.</w:t>
      </w:r>
    </w:p>
    <w:p w:rsidR="00F33C7B" w:rsidRPr="0006223E" w:rsidRDefault="00F33C7B" w:rsidP="00EA7180">
      <w:pPr>
        <w:pStyle w:val="EndNoteBibliography"/>
        <w:spacing w:line="480" w:lineRule="auto"/>
        <w:ind w:left="426" w:hanging="426"/>
      </w:pPr>
      <w:r w:rsidRPr="0006223E">
        <w:t>Sheikh-Abdullah, S.M.</w:t>
      </w:r>
      <w:r w:rsidR="00926E27">
        <w:t>,</w:t>
      </w:r>
      <w:r w:rsidRPr="0006223E">
        <w:t xml:space="preserve"> 2019. Availability of Fe, Zn, Cu, and Mn in </w:t>
      </w:r>
      <w:r w:rsidR="00DC4ABD">
        <w:t>s</w:t>
      </w:r>
      <w:r w:rsidRPr="0006223E">
        <w:t>oils of Sulaimani Governorate, Kurdistan Region, Iraq. Soil Sci</w:t>
      </w:r>
      <w:r w:rsidR="00232556">
        <w:t>.</w:t>
      </w:r>
      <w:r w:rsidRPr="0006223E">
        <w:t xml:space="preserve"> 184: 87-94.</w:t>
      </w:r>
    </w:p>
    <w:p w:rsidR="00F33C7B" w:rsidRPr="0006223E" w:rsidRDefault="00F33C7B" w:rsidP="00EA7180">
      <w:pPr>
        <w:pStyle w:val="EndNoteBibliography"/>
        <w:spacing w:line="480" w:lineRule="auto"/>
        <w:ind w:left="426" w:hanging="426"/>
      </w:pPr>
      <w:r w:rsidRPr="0006223E">
        <w:lastRenderedPageBreak/>
        <w:t>Shuman, L.M.</w:t>
      </w:r>
      <w:r w:rsidR="00926E27">
        <w:t>,</w:t>
      </w:r>
      <w:r w:rsidRPr="0006223E">
        <w:t xml:space="preserve"> 1986. Effect of </w:t>
      </w:r>
      <w:r w:rsidR="00DC4ABD" w:rsidRPr="0006223E">
        <w:t>liming on the distribution of manganese, copper, iron, and zinc among soil fractions</w:t>
      </w:r>
      <w:r w:rsidRPr="0006223E">
        <w:t>. Soil Sci</w:t>
      </w:r>
      <w:r w:rsidR="00D87E2F">
        <w:t>.</w:t>
      </w:r>
      <w:r w:rsidRPr="0006223E">
        <w:t xml:space="preserve"> Soc</w:t>
      </w:r>
      <w:r w:rsidR="00D87E2F">
        <w:t>.</w:t>
      </w:r>
      <w:r w:rsidRPr="0006223E">
        <w:t xml:space="preserve">  Am</w:t>
      </w:r>
      <w:r w:rsidR="00D87E2F">
        <w:t>.</w:t>
      </w:r>
      <w:r w:rsidRPr="0006223E">
        <w:t xml:space="preserve"> J</w:t>
      </w:r>
      <w:r w:rsidR="00D87E2F">
        <w:t>.</w:t>
      </w:r>
      <w:r w:rsidRPr="0006223E">
        <w:t xml:space="preserve"> 50: 1236-1240.</w:t>
      </w:r>
    </w:p>
    <w:p w:rsidR="00F33C7B" w:rsidRPr="0006223E" w:rsidRDefault="00F33C7B" w:rsidP="00EA7180">
      <w:pPr>
        <w:pStyle w:val="EndNoteBibliography"/>
        <w:spacing w:line="480" w:lineRule="auto"/>
        <w:ind w:left="426" w:hanging="426"/>
      </w:pPr>
      <w:r w:rsidRPr="0006223E">
        <w:t>Silva, R.d.C.F.d., F.B.V.d. Silva, C.M. Biondi, C.W.A.d. Nascimento and E.C.A.d. Oliveira</w:t>
      </w:r>
      <w:r w:rsidR="00926E27">
        <w:t>,</w:t>
      </w:r>
      <w:r w:rsidRPr="0006223E">
        <w:t xml:space="preserve"> 2019. Assessing the </w:t>
      </w:r>
      <w:r w:rsidR="00DC4ABD" w:rsidRPr="0006223E">
        <w:t>content of micronutrients in soils and sugarcane in different pedogeological context</w:t>
      </w:r>
      <w:r w:rsidRPr="0006223E">
        <w:t xml:space="preserve">s of </w:t>
      </w:r>
      <w:r w:rsidR="00DC4ABD">
        <w:t>n</w:t>
      </w:r>
      <w:r w:rsidRPr="0006223E">
        <w:t>ortheastern Brazil. Rev</w:t>
      </w:r>
      <w:r w:rsidR="00D87E2F">
        <w:t>.</w:t>
      </w:r>
      <w:r w:rsidRPr="0006223E">
        <w:t xml:space="preserve"> Bras</w:t>
      </w:r>
      <w:r w:rsidR="00D87E2F">
        <w:t xml:space="preserve">. </w:t>
      </w:r>
      <w:r w:rsidRPr="0006223E">
        <w:t>Ciênc</w:t>
      </w:r>
      <w:r w:rsidR="00D87E2F">
        <w:t>.</w:t>
      </w:r>
      <w:r w:rsidRPr="0006223E">
        <w:t xml:space="preserve"> Solo 43. </w:t>
      </w:r>
    </w:p>
    <w:p w:rsidR="00F33C7B" w:rsidRPr="0006223E" w:rsidRDefault="00F33C7B" w:rsidP="00EA7180">
      <w:pPr>
        <w:pStyle w:val="EndNoteBibliography"/>
        <w:spacing w:line="480" w:lineRule="auto"/>
        <w:ind w:left="426" w:hanging="426"/>
      </w:pPr>
      <w:r w:rsidRPr="0006223E">
        <w:t>Singh, H. and M.S. Reddy</w:t>
      </w:r>
      <w:r w:rsidR="00926E27">
        <w:t>,</w:t>
      </w:r>
      <w:r w:rsidRPr="0006223E">
        <w:t xml:space="preserve"> 2011. Effect of inoculation with phosphate solubilizing fungus on growth and nutrient uptake of wheat and maize plants fertilized with rock phosphate in alkaline soils. Eur</w:t>
      </w:r>
      <w:r w:rsidR="0052184E">
        <w:t>.</w:t>
      </w:r>
      <w:r w:rsidRPr="0006223E">
        <w:t xml:space="preserve"> J</w:t>
      </w:r>
      <w:r w:rsidR="0052184E">
        <w:t>.</w:t>
      </w:r>
      <w:r w:rsidRPr="0006223E">
        <w:t xml:space="preserve"> Soil Biol</w:t>
      </w:r>
      <w:r w:rsidR="0052184E">
        <w:t>.</w:t>
      </w:r>
      <w:r w:rsidRPr="0006223E">
        <w:t xml:space="preserve"> 47: 30-34. </w:t>
      </w:r>
    </w:p>
    <w:p w:rsidR="00F33C7B" w:rsidRPr="0006223E" w:rsidRDefault="00F33C7B" w:rsidP="00EA7180">
      <w:pPr>
        <w:pStyle w:val="EndNoteBibliography"/>
        <w:spacing w:line="480" w:lineRule="auto"/>
        <w:ind w:left="426" w:hanging="426"/>
      </w:pPr>
      <w:r w:rsidRPr="0006223E">
        <w:t>Soaud, A.A., F.H. Al Darwish, M.E. Saleh, K.A. El-Tarabily, M. Sofian-Azirun and M.M. Rahman</w:t>
      </w:r>
      <w:r w:rsidR="00926E27">
        <w:t>,</w:t>
      </w:r>
      <w:r w:rsidRPr="0006223E">
        <w:t xml:space="preserve"> 2011. Effects of elemental sulfur, phosphorus, micronutrients and </w:t>
      </w:r>
      <w:r w:rsidRPr="00E10FB9">
        <w:rPr>
          <w:i/>
          <w:iCs/>
        </w:rPr>
        <w:t>Paracoccus versutus</w:t>
      </w:r>
      <w:r w:rsidRPr="0006223E">
        <w:t xml:space="preserve"> on nutrient availability of calcareous soils. Aust</w:t>
      </w:r>
      <w:r w:rsidR="00FB6B8D">
        <w:t>.</w:t>
      </w:r>
      <w:r w:rsidRPr="0006223E">
        <w:t xml:space="preserve"> J</w:t>
      </w:r>
      <w:r w:rsidR="00FB6B8D">
        <w:t>.</w:t>
      </w:r>
      <w:r w:rsidRPr="0006223E">
        <w:t xml:space="preserve"> Crop Sci</w:t>
      </w:r>
      <w:r w:rsidR="00FB6B8D">
        <w:t>.</w:t>
      </w:r>
      <w:r w:rsidRPr="0006223E">
        <w:t xml:space="preserve"> 5: 554-561.</w:t>
      </w:r>
    </w:p>
    <w:p w:rsidR="00F33C7B" w:rsidRPr="0006223E" w:rsidRDefault="00F33C7B" w:rsidP="00EA7180">
      <w:pPr>
        <w:pStyle w:val="EndNoteBibliography"/>
        <w:spacing w:line="480" w:lineRule="auto"/>
        <w:ind w:left="426" w:hanging="426"/>
      </w:pPr>
      <w:r w:rsidRPr="0006223E">
        <w:t>Steiner, F. and M.d.C. Lana</w:t>
      </w:r>
      <w:r w:rsidR="00926E27">
        <w:t>,</w:t>
      </w:r>
      <w:r w:rsidRPr="0006223E">
        <w:t xml:space="preserve"> 2013. Effect of pH on boron adsorption in some soils of Paraná, Brazil. Chil</w:t>
      </w:r>
      <w:r w:rsidR="00FB6B8D">
        <w:t>.</w:t>
      </w:r>
      <w:r w:rsidRPr="0006223E">
        <w:t xml:space="preserve"> </w:t>
      </w:r>
      <w:r w:rsidR="00FB6B8D">
        <w:t>J.</w:t>
      </w:r>
      <w:r w:rsidRPr="0006223E">
        <w:t xml:space="preserve"> </w:t>
      </w:r>
      <w:r w:rsidR="00FB6B8D">
        <w:t>A</w:t>
      </w:r>
      <w:r w:rsidRPr="0006223E">
        <w:t>gric</w:t>
      </w:r>
      <w:r w:rsidR="00FB6B8D">
        <w:t>. R</w:t>
      </w:r>
      <w:r w:rsidRPr="0006223E">
        <w:t>es</w:t>
      </w:r>
      <w:r w:rsidR="00FB6B8D">
        <w:t>.</w:t>
      </w:r>
      <w:r w:rsidRPr="0006223E">
        <w:t xml:space="preserve"> 73: 28-29.</w:t>
      </w:r>
    </w:p>
    <w:p w:rsidR="00F33C7B" w:rsidRPr="00A1008A" w:rsidRDefault="00F33C7B" w:rsidP="00EA7180">
      <w:pPr>
        <w:pStyle w:val="EndNoteBibliography"/>
        <w:spacing w:line="480" w:lineRule="auto"/>
        <w:ind w:left="426" w:hanging="426"/>
      </w:pPr>
      <w:r w:rsidRPr="0006223E">
        <w:t>Sumner, M.E. and T. Yamada</w:t>
      </w:r>
      <w:r w:rsidR="00926E27">
        <w:t>,</w:t>
      </w:r>
      <w:r w:rsidRPr="0006223E">
        <w:t xml:space="preserve"> 2002. Farming with </w:t>
      </w:r>
      <w:r w:rsidR="00DC4ABD">
        <w:t>a</w:t>
      </w:r>
      <w:r w:rsidRPr="0006223E">
        <w:t>cidity. Commun</w:t>
      </w:r>
      <w:r w:rsidR="004479FD">
        <w:t xml:space="preserve">. </w:t>
      </w:r>
      <w:r w:rsidRPr="0006223E">
        <w:t>Soil Sci</w:t>
      </w:r>
      <w:r w:rsidR="004479FD">
        <w:t xml:space="preserve">. </w:t>
      </w:r>
      <w:r w:rsidRPr="0006223E">
        <w:t>Plan</w:t>
      </w:r>
      <w:r w:rsidR="004479FD">
        <w:t>.</w:t>
      </w:r>
      <w:r w:rsidRPr="0006223E">
        <w:t xml:space="preserve"> 33: 2467-2496.</w:t>
      </w:r>
    </w:p>
    <w:p w:rsidR="006E5639" w:rsidRDefault="006E5639" w:rsidP="00EA7180">
      <w:pPr>
        <w:ind w:left="426" w:hanging="426"/>
      </w:pPr>
    </w:p>
    <w:sectPr w:rsidR="006E5639" w:rsidSect="00EA7180">
      <w:pgSz w:w="11901" w:h="16840" w:code="9"/>
      <w:pgMar w:top="1701" w:right="1701" w:bottom="1701"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A74" w:rsidRDefault="00FA3A74">
      <w:pPr>
        <w:spacing w:line="240" w:lineRule="auto"/>
      </w:pPr>
      <w:r>
        <w:separator/>
      </w:r>
    </w:p>
  </w:endnote>
  <w:endnote w:type="continuationSeparator" w:id="0">
    <w:p w:rsidR="00FA3A74" w:rsidRDefault="00FA3A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684866"/>
      <w:docPartObj>
        <w:docPartGallery w:val="Page Numbers (Bottom of Page)"/>
        <w:docPartUnique/>
      </w:docPartObj>
    </w:sdtPr>
    <w:sdtEndPr/>
    <w:sdtContent>
      <w:p w:rsidR="00752627" w:rsidRDefault="00F046FA">
        <w:pPr>
          <w:pStyle w:val="Footer"/>
          <w:jc w:val="center"/>
        </w:pPr>
        <w:r>
          <w:fldChar w:fldCharType="begin"/>
        </w:r>
        <w:r>
          <w:instrText xml:space="preserve"> PAGE   \* MERGEFORMAT </w:instrText>
        </w:r>
        <w:r>
          <w:fldChar w:fldCharType="separate"/>
        </w:r>
        <w:r w:rsidR="00800652">
          <w:rPr>
            <w:noProof/>
          </w:rPr>
          <w:t>18</w:t>
        </w:r>
        <w:r>
          <w:rPr>
            <w:noProof/>
          </w:rPr>
          <w:fldChar w:fldCharType="end"/>
        </w:r>
      </w:p>
    </w:sdtContent>
  </w:sdt>
  <w:p w:rsidR="0098551D" w:rsidRDefault="00FA3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A74" w:rsidRDefault="00FA3A74">
      <w:pPr>
        <w:spacing w:line="240" w:lineRule="auto"/>
      </w:pPr>
      <w:r>
        <w:separator/>
      </w:r>
    </w:p>
  </w:footnote>
  <w:footnote w:type="continuationSeparator" w:id="0">
    <w:p w:rsidR="00FA3A74" w:rsidRDefault="00FA3A7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6040F59"/>
    <w:multiLevelType w:val="hybridMultilevel"/>
    <w:tmpl w:val="D71A80C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6">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1"/>
  </w:num>
  <w:num w:numId="15">
    <w:abstractNumId w:val="14"/>
  </w:num>
  <w:num w:numId="16">
    <w:abstractNumId w:val="17"/>
  </w:num>
  <w:num w:numId="17">
    <w:abstractNumId w:val="11"/>
  </w:num>
  <w:num w:numId="18">
    <w:abstractNumId w:val="0"/>
  </w:num>
  <w:num w:numId="19">
    <w:abstractNumId w:val="12"/>
  </w:num>
  <w:num w:numId="20">
    <w:abstractNumId w:val="19"/>
  </w:num>
  <w:num w:numId="21">
    <w:abstractNumId w:val="22"/>
  </w:num>
  <w:num w:numId="22">
    <w:abstractNumId w:val="23"/>
  </w:num>
  <w:num w:numId="23">
    <w:abstractNumId w:val="13"/>
  </w:num>
  <w:num w:numId="24">
    <w:abstractNumId w:val="2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046FA"/>
    <w:rsid w:val="0002669D"/>
    <w:rsid w:val="000C3455"/>
    <w:rsid w:val="000F00F4"/>
    <w:rsid w:val="000F7833"/>
    <w:rsid w:val="00140B15"/>
    <w:rsid w:val="001733D7"/>
    <w:rsid w:val="001F065E"/>
    <w:rsid w:val="00232556"/>
    <w:rsid w:val="00246162"/>
    <w:rsid w:val="0027747F"/>
    <w:rsid w:val="00291E4E"/>
    <w:rsid w:val="002C784B"/>
    <w:rsid w:val="002E26E0"/>
    <w:rsid w:val="00342929"/>
    <w:rsid w:val="003C36C4"/>
    <w:rsid w:val="004313D1"/>
    <w:rsid w:val="004479FD"/>
    <w:rsid w:val="00482A18"/>
    <w:rsid w:val="004C0E4E"/>
    <w:rsid w:val="004C6183"/>
    <w:rsid w:val="0052184E"/>
    <w:rsid w:val="00530BD9"/>
    <w:rsid w:val="005851CE"/>
    <w:rsid w:val="00647415"/>
    <w:rsid w:val="00657D35"/>
    <w:rsid w:val="006E5639"/>
    <w:rsid w:val="007173AC"/>
    <w:rsid w:val="007645DA"/>
    <w:rsid w:val="0078746B"/>
    <w:rsid w:val="00790B51"/>
    <w:rsid w:val="007C6AB0"/>
    <w:rsid w:val="00800652"/>
    <w:rsid w:val="00926E27"/>
    <w:rsid w:val="009951F2"/>
    <w:rsid w:val="00A066A9"/>
    <w:rsid w:val="00A81A64"/>
    <w:rsid w:val="00C33C82"/>
    <w:rsid w:val="00D74611"/>
    <w:rsid w:val="00D87E2F"/>
    <w:rsid w:val="00DC4ABD"/>
    <w:rsid w:val="00E10FB9"/>
    <w:rsid w:val="00EA7180"/>
    <w:rsid w:val="00EF67C1"/>
    <w:rsid w:val="00F01586"/>
    <w:rsid w:val="00F046FA"/>
    <w:rsid w:val="00F100D6"/>
    <w:rsid w:val="00F227E3"/>
    <w:rsid w:val="00F33C7B"/>
    <w:rsid w:val="00F64E36"/>
    <w:rsid w:val="00FA3A74"/>
    <w:rsid w:val="00FB5CCC"/>
    <w:rsid w:val="00FB6B8D"/>
    <w:rsid w:val="00FE2F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lin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6FA"/>
    <w:pPr>
      <w:spacing w:after="0" w:line="480" w:lineRule="auto"/>
    </w:pPr>
    <w:rPr>
      <w:rFonts w:ascii="Times New Roman" w:eastAsia="Times New Roman" w:hAnsi="Times New Roman" w:cs="Times New Roman"/>
      <w:sz w:val="24"/>
      <w:szCs w:val="24"/>
      <w:lang w:val="en-GB" w:eastAsia="en-GB"/>
    </w:rPr>
  </w:style>
  <w:style w:type="paragraph" w:styleId="Heading1">
    <w:name w:val="heading 1"/>
    <w:basedOn w:val="Normal"/>
    <w:next w:val="Paragraph"/>
    <w:link w:val="Heading1Char"/>
    <w:qFormat/>
    <w:rsid w:val="00F046FA"/>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F046FA"/>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F046FA"/>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046FA"/>
    <w:pPr>
      <w:spacing w:before="360"/>
      <w:outlineLvl w:val="3"/>
    </w:pPr>
    <w:rPr>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46FA"/>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rsid w:val="00F046FA"/>
    <w:rPr>
      <w:rFonts w:ascii="Times New Roman" w:eastAsia="Times New Roman" w:hAnsi="Times New Roman" w:cs="Arial"/>
      <w:b/>
      <w:bCs/>
      <w:i/>
      <w:iCs/>
      <w:sz w:val="24"/>
      <w:szCs w:val="28"/>
      <w:lang w:val="en-GB" w:eastAsia="en-GB"/>
    </w:rPr>
  </w:style>
  <w:style w:type="character" w:customStyle="1" w:styleId="Heading3Char">
    <w:name w:val="Heading 3 Char"/>
    <w:basedOn w:val="DefaultParagraphFont"/>
    <w:link w:val="Heading3"/>
    <w:rsid w:val="00F046FA"/>
    <w:rPr>
      <w:rFonts w:ascii="Times New Roman" w:eastAsia="Times New Roman" w:hAnsi="Times New Roman" w:cs="Arial"/>
      <w:bCs/>
      <w:i/>
      <w:sz w:val="24"/>
      <w:szCs w:val="26"/>
      <w:lang w:val="en-GB" w:eastAsia="en-GB"/>
    </w:rPr>
  </w:style>
  <w:style w:type="character" w:customStyle="1" w:styleId="Heading4Char">
    <w:name w:val="Heading 4 Char"/>
    <w:basedOn w:val="DefaultParagraphFont"/>
    <w:link w:val="Heading4"/>
    <w:rsid w:val="00F046FA"/>
    <w:rPr>
      <w:rFonts w:ascii="Times New Roman" w:eastAsia="Times New Roman" w:hAnsi="Times New Roman" w:cs="Times New Roman"/>
      <w:bCs/>
      <w:sz w:val="24"/>
      <w:szCs w:val="28"/>
      <w:lang w:val="en-GB" w:eastAsia="en-GB"/>
    </w:rPr>
  </w:style>
  <w:style w:type="paragraph" w:customStyle="1" w:styleId="Articletitle">
    <w:name w:val="Article title"/>
    <w:basedOn w:val="Normal"/>
    <w:next w:val="Normal"/>
    <w:qFormat/>
    <w:rsid w:val="00F046FA"/>
    <w:pPr>
      <w:spacing w:after="120" w:line="360" w:lineRule="auto"/>
    </w:pPr>
    <w:rPr>
      <w:b/>
      <w:sz w:val="28"/>
    </w:rPr>
  </w:style>
  <w:style w:type="paragraph" w:customStyle="1" w:styleId="Authornames">
    <w:name w:val="Author names"/>
    <w:basedOn w:val="Normal"/>
    <w:next w:val="Normal"/>
    <w:qFormat/>
    <w:rsid w:val="00F046FA"/>
    <w:pPr>
      <w:spacing w:before="240" w:line="360" w:lineRule="auto"/>
    </w:pPr>
    <w:rPr>
      <w:sz w:val="28"/>
    </w:rPr>
  </w:style>
  <w:style w:type="paragraph" w:customStyle="1" w:styleId="Affiliation">
    <w:name w:val="Affiliation"/>
    <w:basedOn w:val="Normal"/>
    <w:qFormat/>
    <w:rsid w:val="00F046FA"/>
    <w:pPr>
      <w:spacing w:before="240" w:line="360" w:lineRule="auto"/>
    </w:pPr>
    <w:rPr>
      <w:i/>
    </w:rPr>
  </w:style>
  <w:style w:type="paragraph" w:customStyle="1" w:styleId="Receiveddates">
    <w:name w:val="Received dates"/>
    <w:basedOn w:val="Affiliation"/>
    <w:next w:val="Normal"/>
    <w:qFormat/>
    <w:rsid w:val="00F046FA"/>
  </w:style>
  <w:style w:type="paragraph" w:customStyle="1" w:styleId="Abstract">
    <w:name w:val="Abstract"/>
    <w:basedOn w:val="Normal"/>
    <w:next w:val="Keywords"/>
    <w:qFormat/>
    <w:rsid w:val="00F046FA"/>
    <w:pPr>
      <w:spacing w:before="360" w:after="300" w:line="360" w:lineRule="auto"/>
      <w:ind w:left="720" w:right="567"/>
      <w:contextualSpacing/>
    </w:pPr>
    <w:rPr>
      <w:sz w:val="22"/>
    </w:rPr>
  </w:style>
  <w:style w:type="paragraph" w:customStyle="1" w:styleId="Keywords">
    <w:name w:val="Keywords"/>
    <w:basedOn w:val="Normal"/>
    <w:next w:val="Paragraph"/>
    <w:qFormat/>
    <w:rsid w:val="00F046FA"/>
    <w:pPr>
      <w:spacing w:before="240" w:after="240" w:line="360" w:lineRule="auto"/>
      <w:ind w:left="720" w:right="567"/>
    </w:pPr>
    <w:rPr>
      <w:sz w:val="22"/>
    </w:rPr>
  </w:style>
  <w:style w:type="paragraph" w:customStyle="1" w:styleId="Correspondencedetails">
    <w:name w:val="Correspondence details"/>
    <w:basedOn w:val="Normal"/>
    <w:qFormat/>
    <w:rsid w:val="00F046FA"/>
    <w:pPr>
      <w:spacing w:before="240" w:line="360" w:lineRule="auto"/>
    </w:pPr>
  </w:style>
  <w:style w:type="paragraph" w:customStyle="1" w:styleId="Displayedquotation">
    <w:name w:val="Displayed quotation"/>
    <w:basedOn w:val="Normal"/>
    <w:qFormat/>
    <w:rsid w:val="00F046FA"/>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F046FA"/>
    <w:pPr>
      <w:widowControl/>
      <w:numPr>
        <w:numId w:val="13"/>
      </w:numPr>
      <w:spacing w:after="240"/>
      <w:contextualSpacing/>
    </w:pPr>
  </w:style>
  <w:style w:type="paragraph" w:customStyle="1" w:styleId="Displayedequation">
    <w:name w:val="Displayed equation"/>
    <w:basedOn w:val="Normal"/>
    <w:next w:val="Paragraph"/>
    <w:qFormat/>
    <w:rsid w:val="00F046FA"/>
    <w:pPr>
      <w:tabs>
        <w:tab w:val="center" w:pos="4253"/>
        <w:tab w:val="right" w:pos="8222"/>
      </w:tabs>
      <w:spacing w:before="240" w:after="240"/>
      <w:jc w:val="center"/>
    </w:pPr>
  </w:style>
  <w:style w:type="paragraph" w:customStyle="1" w:styleId="Acknowledgements">
    <w:name w:val="Acknowledgements"/>
    <w:basedOn w:val="Normal"/>
    <w:next w:val="Normal"/>
    <w:qFormat/>
    <w:rsid w:val="00F046FA"/>
    <w:pPr>
      <w:spacing w:before="120" w:line="360" w:lineRule="auto"/>
    </w:pPr>
    <w:rPr>
      <w:sz w:val="22"/>
    </w:rPr>
  </w:style>
  <w:style w:type="paragraph" w:customStyle="1" w:styleId="Tabletitle">
    <w:name w:val="Table title"/>
    <w:basedOn w:val="Normal"/>
    <w:next w:val="Normal"/>
    <w:link w:val="TabletitleChar"/>
    <w:qFormat/>
    <w:rsid w:val="00F046FA"/>
    <w:pPr>
      <w:spacing w:before="240" w:line="360" w:lineRule="auto"/>
    </w:pPr>
  </w:style>
  <w:style w:type="paragraph" w:customStyle="1" w:styleId="Figurecaption">
    <w:name w:val="Figure caption"/>
    <w:basedOn w:val="Normal"/>
    <w:next w:val="Normal"/>
    <w:qFormat/>
    <w:rsid w:val="00F046FA"/>
    <w:pPr>
      <w:spacing w:before="240" w:line="360" w:lineRule="auto"/>
    </w:pPr>
  </w:style>
  <w:style w:type="paragraph" w:customStyle="1" w:styleId="Footnotes">
    <w:name w:val="Footnotes"/>
    <w:basedOn w:val="Normal"/>
    <w:qFormat/>
    <w:rsid w:val="00F046FA"/>
    <w:pPr>
      <w:spacing w:before="120" w:line="360" w:lineRule="auto"/>
      <w:ind w:left="482" w:hanging="482"/>
      <w:contextualSpacing/>
    </w:pPr>
    <w:rPr>
      <w:sz w:val="22"/>
    </w:rPr>
  </w:style>
  <w:style w:type="paragraph" w:customStyle="1" w:styleId="Notesoncontributors">
    <w:name w:val="Notes on contributors"/>
    <w:basedOn w:val="Normal"/>
    <w:qFormat/>
    <w:rsid w:val="00F046FA"/>
    <w:pPr>
      <w:spacing w:before="240" w:line="360" w:lineRule="auto"/>
    </w:pPr>
    <w:rPr>
      <w:sz w:val="22"/>
    </w:rPr>
  </w:style>
  <w:style w:type="paragraph" w:customStyle="1" w:styleId="Normalparagraphstyle">
    <w:name w:val="Normal paragraph style"/>
    <w:basedOn w:val="Normal"/>
    <w:next w:val="Normal"/>
    <w:rsid w:val="00F046FA"/>
  </w:style>
  <w:style w:type="paragraph" w:customStyle="1" w:styleId="Paragraph">
    <w:name w:val="Paragraph"/>
    <w:basedOn w:val="Normal"/>
    <w:next w:val="Newparagraph"/>
    <w:qFormat/>
    <w:rsid w:val="00F046FA"/>
    <w:pPr>
      <w:widowControl w:val="0"/>
      <w:spacing w:before="240"/>
    </w:pPr>
  </w:style>
  <w:style w:type="paragraph" w:customStyle="1" w:styleId="Newparagraph">
    <w:name w:val="New paragraph"/>
    <w:basedOn w:val="Normal"/>
    <w:qFormat/>
    <w:rsid w:val="00F046FA"/>
    <w:pPr>
      <w:ind w:firstLine="720"/>
    </w:pPr>
  </w:style>
  <w:style w:type="paragraph" w:styleId="NormalIndent">
    <w:name w:val="Normal Indent"/>
    <w:basedOn w:val="Normal"/>
    <w:rsid w:val="00F046FA"/>
    <w:pPr>
      <w:ind w:left="720"/>
    </w:pPr>
  </w:style>
  <w:style w:type="paragraph" w:customStyle="1" w:styleId="References">
    <w:name w:val="References"/>
    <w:basedOn w:val="Normal"/>
    <w:qFormat/>
    <w:rsid w:val="00F046FA"/>
    <w:pPr>
      <w:spacing w:before="120" w:line="360" w:lineRule="auto"/>
      <w:ind w:left="720" w:hanging="720"/>
      <w:contextualSpacing/>
    </w:pPr>
  </w:style>
  <w:style w:type="paragraph" w:customStyle="1" w:styleId="Subjectcodes">
    <w:name w:val="Subject codes"/>
    <w:basedOn w:val="Keywords"/>
    <w:next w:val="Paragraph"/>
    <w:qFormat/>
    <w:rsid w:val="00F046FA"/>
  </w:style>
  <w:style w:type="paragraph" w:customStyle="1" w:styleId="Bulletedlist">
    <w:name w:val="Bulleted list"/>
    <w:basedOn w:val="Paragraph"/>
    <w:next w:val="Paragraph"/>
    <w:qFormat/>
    <w:rsid w:val="00F046FA"/>
    <w:pPr>
      <w:widowControl/>
      <w:numPr>
        <w:numId w:val="14"/>
      </w:numPr>
      <w:spacing w:after="240"/>
      <w:contextualSpacing/>
    </w:pPr>
  </w:style>
  <w:style w:type="paragraph" w:styleId="FootnoteText">
    <w:name w:val="footnote text"/>
    <w:basedOn w:val="Normal"/>
    <w:link w:val="FootnoteTextChar"/>
    <w:autoRedefine/>
    <w:rsid w:val="00F046FA"/>
    <w:pPr>
      <w:ind w:left="284" w:hanging="284"/>
    </w:pPr>
    <w:rPr>
      <w:sz w:val="22"/>
      <w:szCs w:val="20"/>
    </w:rPr>
  </w:style>
  <w:style w:type="character" w:customStyle="1" w:styleId="FootnoteTextChar">
    <w:name w:val="Footnote Text Char"/>
    <w:basedOn w:val="DefaultParagraphFont"/>
    <w:link w:val="FootnoteText"/>
    <w:rsid w:val="00F046FA"/>
    <w:rPr>
      <w:rFonts w:ascii="Times New Roman" w:eastAsia="Times New Roman" w:hAnsi="Times New Roman" w:cs="Times New Roman"/>
      <w:szCs w:val="20"/>
      <w:lang w:val="en-GB" w:eastAsia="en-GB"/>
    </w:rPr>
  </w:style>
  <w:style w:type="character" w:styleId="FootnoteReference">
    <w:name w:val="footnote reference"/>
    <w:basedOn w:val="DefaultParagraphFont"/>
    <w:rsid w:val="00F046FA"/>
    <w:rPr>
      <w:vertAlign w:val="superscript"/>
    </w:rPr>
  </w:style>
  <w:style w:type="paragraph" w:styleId="EndnoteText">
    <w:name w:val="endnote text"/>
    <w:basedOn w:val="Normal"/>
    <w:link w:val="EndnoteTextChar"/>
    <w:autoRedefine/>
    <w:rsid w:val="00F046FA"/>
    <w:pPr>
      <w:ind w:left="284" w:hanging="284"/>
    </w:pPr>
    <w:rPr>
      <w:sz w:val="22"/>
      <w:szCs w:val="20"/>
    </w:rPr>
  </w:style>
  <w:style w:type="character" w:customStyle="1" w:styleId="EndnoteTextChar">
    <w:name w:val="Endnote Text Char"/>
    <w:basedOn w:val="DefaultParagraphFont"/>
    <w:link w:val="EndnoteText"/>
    <w:rsid w:val="00F046FA"/>
    <w:rPr>
      <w:rFonts w:ascii="Times New Roman" w:eastAsia="Times New Roman" w:hAnsi="Times New Roman" w:cs="Times New Roman"/>
      <w:szCs w:val="20"/>
      <w:lang w:val="en-GB" w:eastAsia="en-GB"/>
    </w:rPr>
  </w:style>
  <w:style w:type="character" w:styleId="EndnoteReference">
    <w:name w:val="endnote reference"/>
    <w:basedOn w:val="DefaultParagraphFont"/>
    <w:rsid w:val="00F046FA"/>
    <w:rPr>
      <w:vertAlign w:val="superscript"/>
    </w:rPr>
  </w:style>
  <w:style w:type="paragraph" w:styleId="Header">
    <w:name w:val="header"/>
    <w:basedOn w:val="Normal"/>
    <w:link w:val="HeaderChar"/>
    <w:rsid w:val="00F046F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F046F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F046FA"/>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F046FA"/>
    <w:rPr>
      <w:rFonts w:ascii="Times New Roman" w:eastAsia="Times New Roman" w:hAnsi="Times New Roman" w:cs="Times New Roman"/>
      <w:sz w:val="24"/>
      <w:szCs w:val="24"/>
      <w:lang w:val="en-GB" w:eastAsia="en-GB"/>
    </w:rPr>
  </w:style>
  <w:style w:type="paragraph" w:customStyle="1" w:styleId="Heading4Paragraph">
    <w:name w:val="Heading 4 + Paragraph"/>
    <w:basedOn w:val="Paragraph"/>
    <w:next w:val="Newparagraph"/>
    <w:qFormat/>
    <w:rsid w:val="00F046FA"/>
    <w:pPr>
      <w:widowControl/>
      <w:spacing w:before="360"/>
    </w:pPr>
  </w:style>
  <w:style w:type="character" w:styleId="Hyperlink">
    <w:name w:val="Hyperlink"/>
    <w:basedOn w:val="DefaultParagraphFont"/>
    <w:rsid w:val="00F046FA"/>
    <w:rPr>
      <w:color w:val="0563C1" w:themeColor="hyperlink"/>
      <w:u w:val="single"/>
    </w:rPr>
  </w:style>
  <w:style w:type="paragraph" w:customStyle="1" w:styleId="MText">
    <w:name w:val="M_Text"/>
    <w:basedOn w:val="Normal"/>
    <w:link w:val="MTextChar"/>
    <w:rsid w:val="00F046FA"/>
    <w:pPr>
      <w:spacing w:line="340" w:lineRule="atLeast"/>
      <w:ind w:firstLine="284"/>
      <w:jc w:val="both"/>
    </w:pPr>
    <w:rPr>
      <w:color w:val="000000"/>
      <w:szCs w:val="20"/>
      <w:lang w:val="en-US" w:eastAsia="de-DE"/>
    </w:rPr>
  </w:style>
  <w:style w:type="character" w:styleId="Emphasis">
    <w:name w:val="Emphasis"/>
    <w:uiPriority w:val="20"/>
    <w:qFormat/>
    <w:rsid w:val="00F046FA"/>
    <w:rPr>
      <w:i/>
      <w:iCs/>
    </w:rPr>
  </w:style>
  <w:style w:type="paragraph" w:customStyle="1" w:styleId="EndNoteBibliographyTitle">
    <w:name w:val="EndNote Bibliography Title"/>
    <w:basedOn w:val="Normal"/>
    <w:link w:val="EndNoteBibliographyTitleChar"/>
    <w:rsid w:val="00F046FA"/>
    <w:pPr>
      <w:jc w:val="center"/>
    </w:pPr>
    <w:rPr>
      <w:noProof/>
      <w:color w:val="000000"/>
    </w:rPr>
  </w:style>
  <w:style w:type="character" w:customStyle="1" w:styleId="MTextChar">
    <w:name w:val="M_Text Char"/>
    <w:basedOn w:val="DefaultParagraphFont"/>
    <w:link w:val="MText"/>
    <w:rsid w:val="00F046FA"/>
    <w:rPr>
      <w:rFonts w:ascii="Times New Roman" w:eastAsia="Times New Roman" w:hAnsi="Times New Roman" w:cs="Times New Roman"/>
      <w:color w:val="000000"/>
      <w:sz w:val="24"/>
      <w:szCs w:val="20"/>
      <w:lang w:eastAsia="de-DE"/>
    </w:rPr>
  </w:style>
  <w:style w:type="character" w:customStyle="1" w:styleId="EndNoteBibliographyTitleChar">
    <w:name w:val="EndNote Bibliography Title Char"/>
    <w:basedOn w:val="MTextChar"/>
    <w:link w:val="EndNoteBibliographyTitle"/>
    <w:rsid w:val="00F046FA"/>
    <w:rPr>
      <w:rFonts w:ascii="Times New Roman" w:eastAsia="Times New Roman" w:hAnsi="Times New Roman" w:cs="Times New Roman"/>
      <w:noProof/>
      <w:color w:val="000000"/>
      <w:sz w:val="24"/>
      <w:szCs w:val="24"/>
      <w:lang w:val="en-GB" w:eastAsia="en-GB"/>
    </w:rPr>
  </w:style>
  <w:style w:type="paragraph" w:customStyle="1" w:styleId="EndNoteBibliography">
    <w:name w:val="EndNote Bibliography"/>
    <w:basedOn w:val="Normal"/>
    <w:link w:val="EndNoteBibliographyChar"/>
    <w:rsid w:val="00F046FA"/>
    <w:pPr>
      <w:spacing w:line="240" w:lineRule="auto"/>
      <w:jc w:val="both"/>
    </w:pPr>
    <w:rPr>
      <w:noProof/>
      <w:color w:val="000000"/>
    </w:rPr>
  </w:style>
  <w:style w:type="character" w:customStyle="1" w:styleId="EndNoteBibliographyChar">
    <w:name w:val="EndNote Bibliography Char"/>
    <w:basedOn w:val="MTextChar"/>
    <w:link w:val="EndNoteBibliography"/>
    <w:rsid w:val="00F046FA"/>
    <w:rPr>
      <w:rFonts w:ascii="Times New Roman" w:eastAsia="Times New Roman" w:hAnsi="Times New Roman" w:cs="Times New Roman"/>
      <w:noProof/>
      <w:color w:val="000000"/>
      <w:sz w:val="24"/>
      <w:szCs w:val="24"/>
      <w:lang w:val="en-GB" w:eastAsia="en-GB"/>
    </w:rPr>
  </w:style>
  <w:style w:type="character" w:customStyle="1" w:styleId="TabletitleChar">
    <w:name w:val="Table title Char"/>
    <w:basedOn w:val="DefaultParagraphFont"/>
    <w:link w:val="Tabletitle"/>
    <w:rsid w:val="00F046FA"/>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F04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046F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046FA"/>
    <w:rPr>
      <w:rFonts w:ascii="Tahoma" w:eastAsia="Times New Roman" w:hAnsi="Tahoma" w:cs="Tahoma"/>
      <w:sz w:val="16"/>
      <w:szCs w:val="16"/>
      <w:lang w:val="en-GB" w:eastAsia="en-GB"/>
    </w:rPr>
  </w:style>
  <w:style w:type="character" w:styleId="LineNumber">
    <w:name w:val="line number"/>
    <w:basedOn w:val="DefaultParagraphFont"/>
    <w:rsid w:val="00F046FA"/>
  </w:style>
  <w:style w:type="paragraph" w:customStyle="1" w:styleId="MHeading1">
    <w:name w:val="M_Heading1"/>
    <w:basedOn w:val="Normal"/>
    <w:rsid w:val="00F046FA"/>
    <w:pPr>
      <w:spacing w:before="240" w:after="240" w:line="340" w:lineRule="atLeast"/>
      <w:jc w:val="both"/>
    </w:pPr>
    <w:rPr>
      <w:b/>
      <w:color w:val="000000"/>
      <w:szCs w:val="20"/>
      <w:lang w:val="en-US" w:eastAsia="de-DE"/>
    </w:rPr>
  </w:style>
  <w:style w:type="paragraph" w:styleId="ListParagraph">
    <w:name w:val="List Paragraph"/>
    <w:basedOn w:val="Normal"/>
    <w:uiPriority w:val="1"/>
    <w:qFormat/>
    <w:rsid w:val="00EA7180"/>
    <w:pPr>
      <w:widowControl w:val="0"/>
      <w:autoSpaceDE w:val="0"/>
      <w:autoSpaceDN w:val="0"/>
      <w:spacing w:line="240" w:lineRule="auto"/>
    </w:pPr>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lin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6FA"/>
    <w:pPr>
      <w:spacing w:after="0" w:line="480" w:lineRule="auto"/>
    </w:pPr>
    <w:rPr>
      <w:rFonts w:ascii="Times New Roman" w:eastAsia="Times New Roman" w:hAnsi="Times New Roman" w:cs="Times New Roman"/>
      <w:sz w:val="24"/>
      <w:szCs w:val="24"/>
      <w:lang w:val="en-GB" w:eastAsia="en-GB"/>
    </w:rPr>
  </w:style>
  <w:style w:type="paragraph" w:styleId="Heading1">
    <w:name w:val="heading 1"/>
    <w:basedOn w:val="Normal"/>
    <w:next w:val="Paragraph"/>
    <w:link w:val="Heading1Char"/>
    <w:qFormat/>
    <w:rsid w:val="00F046FA"/>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F046FA"/>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F046FA"/>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046FA"/>
    <w:pPr>
      <w:spacing w:before="360"/>
      <w:outlineLvl w:val="3"/>
    </w:pPr>
    <w:rPr>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46FA"/>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rsid w:val="00F046FA"/>
    <w:rPr>
      <w:rFonts w:ascii="Times New Roman" w:eastAsia="Times New Roman" w:hAnsi="Times New Roman" w:cs="Arial"/>
      <w:b/>
      <w:bCs/>
      <w:i/>
      <w:iCs/>
      <w:sz w:val="24"/>
      <w:szCs w:val="28"/>
      <w:lang w:val="en-GB" w:eastAsia="en-GB"/>
    </w:rPr>
  </w:style>
  <w:style w:type="character" w:customStyle="1" w:styleId="Heading3Char">
    <w:name w:val="Heading 3 Char"/>
    <w:basedOn w:val="DefaultParagraphFont"/>
    <w:link w:val="Heading3"/>
    <w:rsid w:val="00F046FA"/>
    <w:rPr>
      <w:rFonts w:ascii="Times New Roman" w:eastAsia="Times New Roman" w:hAnsi="Times New Roman" w:cs="Arial"/>
      <w:bCs/>
      <w:i/>
      <w:sz w:val="24"/>
      <w:szCs w:val="26"/>
      <w:lang w:val="en-GB" w:eastAsia="en-GB"/>
    </w:rPr>
  </w:style>
  <w:style w:type="character" w:customStyle="1" w:styleId="Heading4Char">
    <w:name w:val="Heading 4 Char"/>
    <w:basedOn w:val="DefaultParagraphFont"/>
    <w:link w:val="Heading4"/>
    <w:rsid w:val="00F046FA"/>
    <w:rPr>
      <w:rFonts w:ascii="Times New Roman" w:eastAsia="Times New Roman" w:hAnsi="Times New Roman" w:cs="Times New Roman"/>
      <w:bCs/>
      <w:sz w:val="24"/>
      <w:szCs w:val="28"/>
      <w:lang w:val="en-GB" w:eastAsia="en-GB"/>
    </w:rPr>
  </w:style>
  <w:style w:type="paragraph" w:customStyle="1" w:styleId="Articletitle">
    <w:name w:val="Article title"/>
    <w:basedOn w:val="Normal"/>
    <w:next w:val="Normal"/>
    <w:qFormat/>
    <w:rsid w:val="00F046FA"/>
    <w:pPr>
      <w:spacing w:after="120" w:line="360" w:lineRule="auto"/>
    </w:pPr>
    <w:rPr>
      <w:b/>
      <w:sz w:val="28"/>
    </w:rPr>
  </w:style>
  <w:style w:type="paragraph" w:customStyle="1" w:styleId="Authornames">
    <w:name w:val="Author names"/>
    <w:basedOn w:val="Normal"/>
    <w:next w:val="Normal"/>
    <w:qFormat/>
    <w:rsid w:val="00F046FA"/>
    <w:pPr>
      <w:spacing w:before="240" w:line="360" w:lineRule="auto"/>
    </w:pPr>
    <w:rPr>
      <w:sz w:val="28"/>
    </w:rPr>
  </w:style>
  <w:style w:type="paragraph" w:customStyle="1" w:styleId="Affiliation">
    <w:name w:val="Affiliation"/>
    <w:basedOn w:val="Normal"/>
    <w:qFormat/>
    <w:rsid w:val="00F046FA"/>
    <w:pPr>
      <w:spacing w:before="240" w:line="360" w:lineRule="auto"/>
    </w:pPr>
    <w:rPr>
      <w:i/>
    </w:rPr>
  </w:style>
  <w:style w:type="paragraph" w:customStyle="1" w:styleId="Receiveddates">
    <w:name w:val="Received dates"/>
    <w:basedOn w:val="Affiliation"/>
    <w:next w:val="Normal"/>
    <w:qFormat/>
    <w:rsid w:val="00F046FA"/>
  </w:style>
  <w:style w:type="paragraph" w:customStyle="1" w:styleId="Abstract">
    <w:name w:val="Abstract"/>
    <w:basedOn w:val="Normal"/>
    <w:next w:val="Keywords"/>
    <w:qFormat/>
    <w:rsid w:val="00F046FA"/>
    <w:pPr>
      <w:spacing w:before="360" w:after="300" w:line="360" w:lineRule="auto"/>
      <w:ind w:left="720" w:right="567"/>
      <w:contextualSpacing/>
    </w:pPr>
    <w:rPr>
      <w:sz w:val="22"/>
    </w:rPr>
  </w:style>
  <w:style w:type="paragraph" w:customStyle="1" w:styleId="Keywords">
    <w:name w:val="Keywords"/>
    <w:basedOn w:val="Normal"/>
    <w:next w:val="Paragraph"/>
    <w:qFormat/>
    <w:rsid w:val="00F046FA"/>
    <w:pPr>
      <w:spacing w:before="240" w:after="240" w:line="360" w:lineRule="auto"/>
      <w:ind w:left="720" w:right="567"/>
    </w:pPr>
    <w:rPr>
      <w:sz w:val="22"/>
    </w:rPr>
  </w:style>
  <w:style w:type="paragraph" w:customStyle="1" w:styleId="Correspondencedetails">
    <w:name w:val="Correspondence details"/>
    <w:basedOn w:val="Normal"/>
    <w:qFormat/>
    <w:rsid w:val="00F046FA"/>
    <w:pPr>
      <w:spacing w:before="240" w:line="360" w:lineRule="auto"/>
    </w:pPr>
  </w:style>
  <w:style w:type="paragraph" w:customStyle="1" w:styleId="Displayedquotation">
    <w:name w:val="Displayed quotation"/>
    <w:basedOn w:val="Normal"/>
    <w:qFormat/>
    <w:rsid w:val="00F046FA"/>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F046FA"/>
    <w:pPr>
      <w:widowControl/>
      <w:numPr>
        <w:numId w:val="13"/>
      </w:numPr>
      <w:spacing w:after="240"/>
      <w:contextualSpacing/>
    </w:pPr>
  </w:style>
  <w:style w:type="paragraph" w:customStyle="1" w:styleId="Displayedequation">
    <w:name w:val="Displayed equation"/>
    <w:basedOn w:val="Normal"/>
    <w:next w:val="Paragraph"/>
    <w:qFormat/>
    <w:rsid w:val="00F046FA"/>
    <w:pPr>
      <w:tabs>
        <w:tab w:val="center" w:pos="4253"/>
        <w:tab w:val="right" w:pos="8222"/>
      </w:tabs>
      <w:spacing w:before="240" w:after="240"/>
      <w:jc w:val="center"/>
    </w:pPr>
  </w:style>
  <w:style w:type="paragraph" w:customStyle="1" w:styleId="Acknowledgements">
    <w:name w:val="Acknowledgements"/>
    <w:basedOn w:val="Normal"/>
    <w:next w:val="Normal"/>
    <w:qFormat/>
    <w:rsid w:val="00F046FA"/>
    <w:pPr>
      <w:spacing w:before="120" w:line="360" w:lineRule="auto"/>
    </w:pPr>
    <w:rPr>
      <w:sz w:val="22"/>
    </w:rPr>
  </w:style>
  <w:style w:type="paragraph" w:customStyle="1" w:styleId="Tabletitle">
    <w:name w:val="Table title"/>
    <w:basedOn w:val="Normal"/>
    <w:next w:val="Normal"/>
    <w:link w:val="TabletitleChar"/>
    <w:qFormat/>
    <w:rsid w:val="00F046FA"/>
    <w:pPr>
      <w:spacing w:before="240" w:line="360" w:lineRule="auto"/>
    </w:pPr>
  </w:style>
  <w:style w:type="paragraph" w:customStyle="1" w:styleId="Figurecaption">
    <w:name w:val="Figure caption"/>
    <w:basedOn w:val="Normal"/>
    <w:next w:val="Normal"/>
    <w:qFormat/>
    <w:rsid w:val="00F046FA"/>
    <w:pPr>
      <w:spacing w:before="240" w:line="360" w:lineRule="auto"/>
    </w:pPr>
  </w:style>
  <w:style w:type="paragraph" w:customStyle="1" w:styleId="Footnotes">
    <w:name w:val="Footnotes"/>
    <w:basedOn w:val="Normal"/>
    <w:qFormat/>
    <w:rsid w:val="00F046FA"/>
    <w:pPr>
      <w:spacing w:before="120" w:line="360" w:lineRule="auto"/>
      <w:ind w:left="482" w:hanging="482"/>
      <w:contextualSpacing/>
    </w:pPr>
    <w:rPr>
      <w:sz w:val="22"/>
    </w:rPr>
  </w:style>
  <w:style w:type="paragraph" w:customStyle="1" w:styleId="Notesoncontributors">
    <w:name w:val="Notes on contributors"/>
    <w:basedOn w:val="Normal"/>
    <w:qFormat/>
    <w:rsid w:val="00F046FA"/>
    <w:pPr>
      <w:spacing w:before="240" w:line="360" w:lineRule="auto"/>
    </w:pPr>
    <w:rPr>
      <w:sz w:val="22"/>
    </w:rPr>
  </w:style>
  <w:style w:type="paragraph" w:customStyle="1" w:styleId="Normalparagraphstyle">
    <w:name w:val="Normal paragraph style"/>
    <w:basedOn w:val="Normal"/>
    <w:next w:val="Normal"/>
    <w:rsid w:val="00F046FA"/>
  </w:style>
  <w:style w:type="paragraph" w:customStyle="1" w:styleId="Paragraph">
    <w:name w:val="Paragraph"/>
    <w:basedOn w:val="Normal"/>
    <w:next w:val="Newparagraph"/>
    <w:qFormat/>
    <w:rsid w:val="00F046FA"/>
    <w:pPr>
      <w:widowControl w:val="0"/>
      <w:spacing w:before="240"/>
    </w:pPr>
  </w:style>
  <w:style w:type="paragraph" w:customStyle="1" w:styleId="Newparagraph">
    <w:name w:val="New paragraph"/>
    <w:basedOn w:val="Normal"/>
    <w:qFormat/>
    <w:rsid w:val="00F046FA"/>
    <w:pPr>
      <w:ind w:firstLine="720"/>
    </w:pPr>
  </w:style>
  <w:style w:type="paragraph" w:styleId="NormalIndent">
    <w:name w:val="Normal Indent"/>
    <w:basedOn w:val="Normal"/>
    <w:rsid w:val="00F046FA"/>
    <w:pPr>
      <w:ind w:left="720"/>
    </w:pPr>
  </w:style>
  <w:style w:type="paragraph" w:customStyle="1" w:styleId="References">
    <w:name w:val="References"/>
    <w:basedOn w:val="Normal"/>
    <w:qFormat/>
    <w:rsid w:val="00F046FA"/>
    <w:pPr>
      <w:spacing w:before="120" w:line="360" w:lineRule="auto"/>
      <w:ind w:left="720" w:hanging="720"/>
      <w:contextualSpacing/>
    </w:pPr>
  </w:style>
  <w:style w:type="paragraph" w:customStyle="1" w:styleId="Subjectcodes">
    <w:name w:val="Subject codes"/>
    <w:basedOn w:val="Keywords"/>
    <w:next w:val="Paragraph"/>
    <w:qFormat/>
    <w:rsid w:val="00F046FA"/>
  </w:style>
  <w:style w:type="paragraph" w:customStyle="1" w:styleId="Bulletedlist">
    <w:name w:val="Bulleted list"/>
    <w:basedOn w:val="Paragraph"/>
    <w:next w:val="Paragraph"/>
    <w:qFormat/>
    <w:rsid w:val="00F046FA"/>
    <w:pPr>
      <w:widowControl/>
      <w:numPr>
        <w:numId w:val="14"/>
      </w:numPr>
      <w:spacing w:after="240"/>
      <w:contextualSpacing/>
    </w:pPr>
  </w:style>
  <w:style w:type="paragraph" w:styleId="FootnoteText">
    <w:name w:val="footnote text"/>
    <w:basedOn w:val="Normal"/>
    <w:link w:val="FootnoteTextChar"/>
    <w:autoRedefine/>
    <w:rsid w:val="00F046FA"/>
    <w:pPr>
      <w:ind w:left="284" w:hanging="284"/>
    </w:pPr>
    <w:rPr>
      <w:sz w:val="22"/>
      <w:szCs w:val="20"/>
    </w:rPr>
  </w:style>
  <w:style w:type="character" w:customStyle="1" w:styleId="FootnoteTextChar">
    <w:name w:val="Footnote Text Char"/>
    <w:basedOn w:val="DefaultParagraphFont"/>
    <w:link w:val="FootnoteText"/>
    <w:rsid w:val="00F046FA"/>
    <w:rPr>
      <w:rFonts w:ascii="Times New Roman" w:eastAsia="Times New Roman" w:hAnsi="Times New Roman" w:cs="Times New Roman"/>
      <w:szCs w:val="20"/>
      <w:lang w:val="en-GB" w:eastAsia="en-GB"/>
    </w:rPr>
  </w:style>
  <w:style w:type="character" w:styleId="FootnoteReference">
    <w:name w:val="footnote reference"/>
    <w:basedOn w:val="DefaultParagraphFont"/>
    <w:rsid w:val="00F046FA"/>
    <w:rPr>
      <w:vertAlign w:val="superscript"/>
    </w:rPr>
  </w:style>
  <w:style w:type="paragraph" w:styleId="EndnoteText">
    <w:name w:val="endnote text"/>
    <w:basedOn w:val="Normal"/>
    <w:link w:val="EndnoteTextChar"/>
    <w:autoRedefine/>
    <w:rsid w:val="00F046FA"/>
    <w:pPr>
      <w:ind w:left="284" w:hanging="284"/>
    </w:pPr>
    <w:rPr>
      <w:sz w:val="22"/>
      <w:szCs w:val="20"/>
    </w:rPr>
  </w:style>
  <w:style w:type="character" w:customStyle="1" w:styleId="EndnoteTextChar">
    <w:name w:val="Endnote Text Char"/>
    <w:basedOn w:val="DefaultParagraphFont"/>
    <w:link w:val="EndnoteText"/>
    <w:rsid w:val="00F046FA"/>
    <w:rPr>
      <w:rFonts w:ascii="Times New Roman" w:eastAsia="Times New Roman" w:hAnsi="Times New Roman" w:cs="Times New Roman"/>
      <w:szCs w:val="20"/>
      <w:lang w:val="en-GB" w:eastAsia="en-GB"/>
    </w:rPr>
  </w:style>
  <w:style w:type="character" w:styleId="EndnoteReference">
    <w:name w:val="endnote reference"/>
    <w:basedOn w:val="DefaultParagraphFont"/>
    <w:rsid w:val="00F046FA"/>
    <w:rPr>
      <w:vertAlign w:val="superscript"/>
    </w:rPr>
  </w:style>
  <w:style w:type="paragraph" w:styleId="Header">
    <w:name w:val="header"/>
    <w:basedOn w:val="Normal"/>
    <w:link w:val="HeaderChar"/>
    <w:rsid w:val="00F046F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F046F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F046FA"/>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F046FA"/>
    <w:rPr>
      <w:rFonts w:ascii="Times New Roman" w:eastAsia="Times New Roman" w:hAnsi="Times New Roman" w:cs="Times New Roman"/>
      <w:sz w:val="24"/>
      <w:szCs w:val="24"/>
      <w:lang w:val="en-GB" w:eastAsia="en-GB"/>
    </w:rPr>
  </w:style>
  <w:style w:type="paragraph" w:customStyle="1" w:styleId="Heading4Paragraph">
    <w:name w:val="Heading 4 + Paragraph"/>
    <w:basedOn w:val="Paragraph"/>
    <w:next w:val="Newparagraph"/>
    <w:qFormat/>
    <w:rsid w:val="00F046FA"/>
    <w:pPr>
      <w:widowControl/>
      <w:spacing w:before="360"/>
    </w:pPr>
  </w:style>
  <w:style w:type="character" w:styleId="Hyperlink">
    <w:name w:val="Hyperlink"/>
    <w:basedOn w:val="DefaultParagraphFont"/>
    <w:rsid w:val="00F046FA"/>
    <w:rPr>
      <w:color w:val="0563C1" w:themeColor="hyperlink"/>
      <w:u w:val="single"/>
    </w:rPr>
  </w:style>
  <w:style w:type="paragraph" w:customStyle="1" w:styleId="MText">
    <w:name w:val="M_Text"/>
    <w:basedOn w:val="Normal"/>
    <w:link w:val="MTextChar"/>
    <w:rsid w:val="00F046FA"/>
    <w:pPr>
      <w:spacing w:line="340" w:lineRule="atLeast"/>
      <w:ind w:firstLine="284"/>
      <w:jc w:val="both"/>
    </w:pPr>
    <w:rPr>
      <w:color w:val="000000"/>
      <w:szCs w:val="20"/>
      <w:lang w:val="en-US" w:eastAsia="de-DE"/>
    </w:rPr>
  </w:style>
  <w:style w:type="character" w:styleId="Emphasis">
    <w:name w:val="Emphasis"/>
    <w:uiPriority w:val="20"/>
    <w:qFormat/>
    <w:rsid w:val="00F046FA"/>
    <w:rPr>
      <w:i/>
      <w:iCs/>
    </w:rPr>
  </w:style>
  <w:style w:type="paragraph" w:customStyle="1" w:styleId="EndNoteBibliographyTitle">
    <w:name w:val="EndNote Bibliography Title"/>
    <w:basedOn w:val="Normal"/>
    <w:link w:val="EndNoteBibliographyTitleChar"/>
    <w:rsid w:val="00F046FA"/>
    <w:pPr>
      <w:jc w:val="center"/>
    </w:pPr>
    <w:rPr>
      <w:noProof/>
      <w:color w:val="000000"/>
    </w:rPr>
  </w:style>
  <w:style w:type="character" w:customStyle="1" w:styleId="MTextChar">
    <w:name w:val="M_Text Char"/>
    <w:basedOn w:val="DefaultParagraphFont"/>
    <w:link w:val="MText"/>
    <w:rsid w:val="00F046FA"/>
    <w:rPr>
      <w:rFonts w:ascii="Times New Roman" w:eastAsia="Times New Roman" w:hAnsi="Times New Roman" w:cs="Times New Roman"/>
      <w:color w:val="000000"/>
      <w:sz w:val="24"/>
      <w:szCs w:val="20"/>
      <w:lang w:eastAsia="de-DE"/>
    </w:rPr>
  </w:style>
  <w:style w:type="character" w:customStyle="1" w:styleId="EndNoteBibliographyTitleChar">
    <w:name w:val="EndNote Bibliography Title Char"/>
    <w:basedOn w:val="MTextChar"/>
    <w:link w:val="EndNoteBibliographyTitle"/>
    <w:rsid w:val="00F046FA"/>
    <w:rPr>
      <w:rFonts w:ascii="Times New Roman" w:eastAsia="Times New Roman" w:hAnsi="Times New Roman" w:cs="Times New Roman"/>
      <w:noProof/>
      <w:color w:val="000000"/>
      <w:sz w:val="24"/>
      <w:szCs w:val="24"/>
      <w:lang w:val="en-GB" w:eastAsia="en-GB"/>
    </w:rPr>
  </w:style>
  <w:style w:type="paragraph" w:customStyle="1" w:styleId="EndNoteBibliography">
    <w:name w:val="EndNote Bibliography"/>
    <w:basedOn w:val="Normal"/>
    <w:link w:val="EndNoteBibliographyChar"/>
    <w:rsid w:val="00F046FA"/>
    <w:pPr>
      <w:spacing w:line="240" w:lineRule="auto"/>
      <w:jc w:val="both"/>
    </w:pPr>
    <w:rPr>
      <w:noProof/>
      <w:color w:val="000000"/>
    </w:rPr>
  </w:style>
  <w:style w:type="character" w:customStyle="1" w:styleId="EndNoteBibliographyChar">
    <w:name w:val="EndNote Bibliography Char"/>
    <w:basedOn w:val="MTextChar"/>
    <w:link w:val="EndNoteBibliography"/>
    <w:rsid w:val="00F046FA"/>
    <w:rPr>
      <w:rFonts w:ascii="Times New Roman" w:eastAsia="Times New Roman" w:hAnsi="Times New Roman" w:cs="Times New Roman"/>
      <w:noProof/>
      <w:color w:val="000000"/>
      <w:sz w:val="24"/>
      <w:szCs w:val="24"/>
      <w:lang w:val="en-GB" w:eastAsia="en-GB"/>
    </w:rPr>
  </w:style>
  <w:style w:type="character" w:customStyle="1" w:styleId="TabletitleChar">
    <w:name w:val="Table title Char"/>
    <w:basedOn w:val="DefaultParagraphFont"/>
    <w:link w:val="Tabletitle"/>
    <w:rsid w:val="00F046FA"/>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F04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046F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046FA"/>
    <w:rPr>
      <w:rFonts w:ascii="Tahoma" w:eastAsia="Times New Roman" w:hAnsi="Tahoma" w:cs="Tahoma"/>
      <w:sz w:val="16"/>
      <w:szCs w:val="16"/>
      <w:lang w:val="en-GB" w:eastAsia="en-GB"/>
    </w:rPr>
  </w:style>
  <w:style w:type="character" w:styleId="LineNumber">
    <w:name w:val="line number"/>
    <w:basedOn w:val="DefaultParagraphFont"/>
    <w:rsid w:val="00F046FA"/>
  </w:style>
  <w:style w:type="paragraph" w:customStyle="1" w:styleId="MHeading1">
    <w:name w:val="M_Heading1"/>
    <w:basedOn w:val="Normal"/>
    <w:rsid w:val="00F046FA"/>
    <w:pPr>
      <w:spacing w:before="240" w:after="240" w:line="340" w:lineRule="atLeast"/>
      <w:jc w:val="both"/>
    </w:pPr>
    <w:rPr>
      <w:b/>
      <w:color w:val="000000"/>
      <w:szCs w:val="20"/>
      <w:lang w:val="en-US" w:eastAsia="de-DE"/>
    </w:rPr>
  </w:style>
  <w:style w:type="paragraph" w:styleId="ListParagraph">
    <w:name w:val="List Paragraph"/>
    <w:basedOn w:val="Normal"/>
    <w:uiPriority w:val="1"/>
    <w:qFormat/>
    <w:rsid w:val="00EA7180"/>
    <w:pPr>
      <w:widowControl w:val="0"/>
      <w:autoSpaceDE w:val="0"/>
      <w:autoSpaceDN w:val="0"/>
      <w:spacing w:line="240" w:lineRule="auto"/>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mn.salih@epu.edu.iq"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21</Pages>
  <Words>3698</Words>
  <Characters>21080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Hemn</cp:lastModifiedBy>
  <cp:revision>7</cp:revision>
  <dcterms:created xsi:type="dcterms:W3CDTF">2021-01-23T16:56:00Z</dcterms:created>
  <dcterms:modified xsi:type="dcterms:W3CDTF">2021-01-23T17:30:00Z</dcterms:modified>
</cp:coreProperties>
</file>