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A42" w:rsidRDefault="0092654C" w:rsidP="0092654C">
      <w:pPr>
        <w:spacing w:line="480" w:lineRule="auto"/>
        <w:jc w:val="right"/>
        <w:rPr>
          <w:rFonts w:ascii="Times New Roman" w:hAnsi="Times New Roman" w:cs="Times New Roman"/>
          <w:i/>
          <w:sz w:val="24"/>
          <w:szCs w:val="24"/>
        </w:rPr>
      </w:pPr>
      <w:bookmarkStart w:id="0" w:name="_GoBack"/>
      <w:bookmarkEnd w:id="0"/>
      <w:r w:rsidRPr="0092654C">
        <w:rPr>
          <w:rFonts w:ascii="Times New Roman" w:hAnsi="Times New Roman" w:cs="Times New Roman"/>
          <w:sz w:val="24"/>
          <w:szCs w:val="24"/>
        </w:rPr>
        <w:t xml:space="preserve">Utilization of Fungal Consortium as </w:t>
      </w:r>
      <w:r w:rsidRPr="0092654C">
        <w:rPr>
          <w:rFonts w:ascii="Times New Roman" w:hAnsi="Times New Roman" w:cs="Times New Roman"/>
          <w:i/>
          <w:sz w:val="24"/>
          <w:szCs w:val="24"/>
        </w:rPr>
        <w:t>Biofertilizer</w:t>
      </w:r>
    </w:p>
    <w:p w:rsidR="0092654C" w:rsidRDefault="0086600D" w:rsidP="00AB5D2D">
      <w:pPr>
        <w:spacing w:line="480" w:lineRule="auto"/>
        <w:jc w:val="both"/>
        <w:rPr>
          <w:rFonts w:ascii="Times New Roman" w:hAnsi="Times New Roman" w:cs="Times New Roman"/>
          <w:b/>
          <w:i/>
          <w:sz w:val="24"/>
          <w:szCs w:val="24"/>
        </w:rPr>
      </w:pPr>
      <w:r w:rsidRPr="0086600D">
        <w:rPr>
          <w:rFonts w:ascii="Times New Roman" w:hAnsi="Times New Roman" w:cs="Times New Roman"/>
          <w:b/>
          <w:sz w:val="24"/>
          <w:szCs w:val="24"/>
        </w:rPr>
        <w:t>Isolation of Fungal Consortium on Several Land Uses on the West</w:t>
      </w:r>
      <w:r w:rsidR="004E0DA6">
        <w:rPr>
          <w:rFonts w:ascii="Times New Roman" w:hAnsi="Times New Roman" w:cs="Times New Roman"/>
          <w:b/>
          <w:sz w:val="24"/>
          <w:szCs w:val="24"/>
        </w:rPr>
        <w:t xml:space="preserve">ern Slope of </w:t>
      </w:r>
      <w:r w:rsidR="00AB5D2D">
        <w:rPr>
          <w:rFonts w:ascii="Times New Roman" w:hAnsi="Times New Roman" w:cs="Times New Roman"/>
          <w:b/>
          <w:sz w:val="24"/>
          <w:szCs w:val="24"/>
        </w:rPr>
        <w:t>Lawu</w:t>
      </w:r>
      <w:r w:rsidR="004E0DA6">
        <w:rPr>
          <w:rFonts w:ascii="Times New Roman" w:hAnsi="Times New Roman" w:cs="Times New Roman"/>
          <w:b/>
          <w:sz w:val="24"/>
          <w:szCs w:val="24"/>
        </w:rPr>
        <w:t xml:space="preserve"> Mountain</w:t>
      </w:r>
      <w:r w:rsidR="00AB5D2D">
        <w:rPr>
          <w:rFonts w:ascii="Times New Roman" w:hAnsi="Times New Roman" w:cs="Times New Roman"/>
          <w:b/>
          <w:sz w:val="24"/>
          <w:szCs w:val="24"/>
        </w:rPr>
        <w:t xml:space="preserve"> and </w:t>
      </w:r>
      <w:r w:rsidRPr="0086600D">
        <w:rPr>
          <w:rFonts w:ascii="Times New Roman" w:hAnsi="Times New Roman" w:cs="Times New Roman"/>
          <w:b/>
          <w:sz w:val="24"/>
          <w:szCs w:val="24"/>
        </w:rPr>
        <w:t>its Potential</w:t>
      </w:r>
      <w:r w:rsidR="003601D1">
        <w:rPr>
          <w:rFonts w:ascii="Times New Roman" w:hAnsi="Times New Roman" w:cs="Times New Roman"/>
          <w:b/>
          <w:sz w:val="24"/>
          <w:szCs w:val="24"/>
        </w:rPr>
        <w:t xml:space="preserve"> Used</w:t>
      </w:r>
      <w:r w:rsidRPr="0086600D">
        <w:rPr>
          <w:rFonts w:ascii="Times New Roman" w:hAnsi="Times New Roman" w:cs="Times New Roman"/>
          <w:b/>
          <w:sz w:val="24"/>
          <w:szCs w:val="24"/>
        </w:rPr>
        <w:t xml:space="preserve"> as </w:t>
      </w:r>
      <w:r w:rsidRPr="0070249F">
        <w:rPr>
          <w:rFonts w:ascii="Times New Roman" w:hAnsi="Times New Roman" w:cs="Times New Roman"/>
          <w:b/>
          <w:sz w:val="24"/>
          <w:szCs w:val="24"/>
        </w:rPr>
        <w:t>Biofertilizers</w:t>
      </w:r>
      <w:r w:rsidRPr="0086600D">
        <w:rPr>
          <w:rFonts w:ascii="Times New Roman" w:hAnsi="Times New Roman" w:cs="Times New Roman"/>
          <w:b/>
          <w:i/>
          <w:sz w:val="24"/>
          <w:szCs w:val="24"/>
        </w:rPr>
        <w:t>.</w:t>
      </w:r>
    </w:p>
    <w:p w:rsidR="0086600D" w:rsidRPr="0096388D" w:rsidRDefault="0086600D" w:rsidP="0086600D">
      <w:pPr>
        <w:spacing w:after="0" w:line="480" w:lineRule="auto"/>
        <w:jc w:val="both"/>
        <w:rPr>
          <w:rFonts w:ascii="Times New Roman" w:hAnsi="Times New Roman"/>
          <w:b/>
          <w:sz w:val="24"/>
          <w:szCs w:val="24"/>
        </w:rPr>
      </w:pPr>
      <w:r w:rsidRPr="0096388D">
        <w:rPr>
          <w:rFonts w:ascii="Times New Roman" w:hAnsi="Times New Roman"/>
          <w:b/>
          <w:sz w:val="24"/>
          <w:szCs w:val="24"/>
        </w:rPr>
        <w:t>Retno Rosariastuti</w:t>
      </w:r>
      <w:r w:rsidRPr="0096388D">
        <w:rPr>
          <w:rFonts w:ascii="Times New Roman" w:hAnsi="Times New Roman"/>
          <w:b/>
          <w:sz w:val="24"/>
          <w:szCs w:val="24"/>
          <w:vertAlign w:val="superscript"/>
        </w:rPr>
        <w:t>*</w:t>
      </w:r>
      <w:r w:rsidRPr="0096388D">
        <w:rPr>
          <w:rFonts w:ascii="Times New Roman" w:hAnsi="Times New Roman"/>
          <w:b/>
          <w:sz w:val="24"/>
          <w:szCs w:val="24"/>
        </w:rPr>
        <w:t>, Nanda Mutiara Pradiana Wulandari, Sumani, Siti Maro’ah</w:t>
      </w:r>
    </w:p>
    <w:p w:rsidR="0086600D" w:rsidRDefault="0086600D" w:rsidP="0086600D">
      <w:pPr>
        <w:spacing w:after="0" w:line="360" w:lineRule="auto"/>
        <w:jc w:val="both"/>
        <w:rPr>
          <w:rFonts w:ascii="Times New Roman" w:hAnsi="Times New Roman"/>
          <w:sz w:val="24"/>
          <w:szCs w:val="24"/>
        </w:rPr>
      </w:pPr>
      <w:r w:rsidRPr="0096388D">
        <w:rPr>
          <w:rFonts w:ascii="Times New Roman" w:hAnsi="Times New Roman"/>
          <w:i/>
          <w:sz w:val="24"/>
          <w:szCs w:val="24"/>
        </w:rPr>
        <w:t>Department of Soil Science. Faculty of Agriculture, Sebelas Maret University, Surakarta, 57126, Indonesia</w:t>
      </w:r>
      <w:r>
        <w:rPr>
          <w:rFonts w:ascii="Times New Roman" w:hAnsi="Times New Roman"/>
          <w:sz w:val="24"/>
          <w:szCs w:val="24"/>
        </w:rPr>
        <w:t xml:space="preserve"> </w:t>
      </w:r>
    </w:p>
    <w:p w:rsidR="0086600D" w:rsidRDefault="0086600D" w:rsidP="0086600D">
      <w:pPr>
        <w:spacing w:after="0" w:line="360" w:lineRule="auto"/>
        <w:ind w:left="142" w:hanging="142"/>
        <w:jc w:val="both"/>
        <w:rPr>
          <w:rFonts w:ascii="Times New Roman" w:hAnsi="Times New Roman"/>
          <w:sz w:val="24"/>
          <w:szCs w:val="24"/>
        </w:rPr>
      </w:pPr>
      <w:r>
        <w:rPr>
          <w:rFonts w:ascii="Times New Roman" w:hAnsi="Times New Roman"/>
          <w:sz w:val="24"/>
          <w:szCs w:val="24"/>
        </w:rPr>
        <w:t xml:space="preserve">* For correspondence: </w:t>
      </w:r>
      <w:hyperlink r:id="rId8" w:history="1">
        <w:r w:rsidRPr="00193C16">
          <w:rPr>
            <w:rStyle w:val="Hyperlink"/>
            <w:rFonts w:ascii="Times New Roman" w:hAnsi="Times New Roman"/>
            <w:sz w:val="24"/>
            <w:szCs w:val="24"/>
          </w:rPr>
          <w:t>retnobs@staff.uns.ac.id</w:t>
        </w:r>
      </w:hyperlink>
      <w:r>
        <w:rPr>
          <w:rFonts w:ascii="Times New Roman" w:hAnsi="Times New Roman"/>
          <w:sz w:val="24"/>
          <w:szCs w:val="24"/>
        </w:rPr>
        <w:t xml:space="preserve"> </w:t>
      </w:r>
    </w:p>
    <w:p w:rsidR="0086600D" w:rsidRDefault="0086600D" w:rsidP="0086600D">
      <w:pPr>
        <w:spacing w:after="240" w:line="480" w:lineRule="auto"/>
        <w:ind w:left="142" w:hanging="142"/>
        <w:jc w:val="both"/>
        <w:rPr>
          <w:rFonts w:ascii="Times New Roman" w:hAnsi="Times New Roman"/>
          <w:sz w:val="24"/>
          <w:szCs w:val="24"/>
        </w:rPr>
      </w:pPr>
      <w:r w:rsidRPr="00C315F8">
        <w:rPr>
          <w:rFonts w:ascii="Times New Roman" w:hAnsi="Times New Roman"/>
          <w:i/>
          <w:sz w:val="24"/>
          <w:szCs w:val="24"/>
        </w:rPr>
        <w:t>Received</w:t>
      </w:r>
      <w:r>
        <w:rPr>
          <w:rFonts w:ascii="Times New Roman" w:hAnsi="Times New Roman"/>
          <w:sz w:val="24"/>
          <w:szCs w:val="24"/>
        </w:rPr>
        <w:t>_____________; Accepted_____________; Published____________</w:t>
      </w:r>
    </w:p>
    <w:p w:rsidR="0086600D" w:rsidRPr="00F40DBD" w:rsidRDefault="0086600D" w:rsidP="0086600D">
      <w:pPr>
        <w:spacing w:after="0" w:line="480" w:lineRule="auto"/>
        <w:ind w:left="142" w:hanging="142"/>
        <w:jc w:val="both"/>
        <w:rPr>
          <w:rFonts w:ascii="Times New Roman" w:hAnsi="Times New Roman"/>
          <w:b/>
          <w:sz w:val="24"/>
          <w:szCs w:val="26"/>
        </w:rPr>
      </w:pPr>
      <w:r w:rsidRPr="00F40DBD">
        <w:rPr>
          <w:rFonts w:ascii="Times New Roman" w:hAnsi="Times New Roman"/>
          <w:b/>
          <w:sz w:val="24"/>
          <w:szCs w:val="26"/>
        </w:rPr>
        <w:t>Novelty Statement</w:t>
      </w:r>
    </w:p>
    <w:p w:rsidR="0086600D" w:rsidRDefault="0016379E" w:rsidP="00A66D61">
      <w:pPr>
        <w:spacing w:after="0" w:line="480" w:lineRule="auto"/>
        <w:ind w:firstLine="567"/>
        <w:jc w:val="both"/>
        <w:rPr>
          <w:rFonts w:ascii="Times New Roman" w:hAnsi="Times New Roman"/>
          <w:sz w:val="24"/>
          <w:szCs w:val="24"/>
        </w:rPr>
      </w:pPr>
      <w:r w:rsidRPr="0016379E">
        <w:rPr>
          <w:rFonts w:ascii="Times New Roman" w:hAnsi="Times New Roman"/>
          <w:sz w:val="24"/>
          <w:szCs w:val="24"/>
        </w:rPr>
        <w:t>There is no information on the exploration and utilization of fungal consortia from several land use</w:t>
      </w:r>
      <w:r w:rsidR="004E0DA6">
        <w:rPr>
          <w:rFonts w:ascii="Times New Roman" w:hAnsi="Times New Roman"/>
          <w:sz w:val="24"/>
          <w:szCs w:val="24"/>
        </w:rPr>
        <w:t xml:space="preserve">s on the western slope of </w:t>
      </w:r>
      <w:r w:rsidRPr="0016379E">
        <w:rPr>
          <w:rFonts w:ascii="Times New Roman" w:hAnsi="Times New Roman"/>
          <w:sz w:val="24"/>
          <w:szCs w:val="24"/>
        </w:rPr>
        <w:t>Lawu</w:t>
      </w:r>
      <w:r w:rsidR="004E0DA6">
        <w:rPr>
          <w:rFonts w:ascii="Times New Roman" w:hAnsi="Times New Roman"/>
          <w:sz w:val="24"/>
          <w:szCs w:val="24"/>
        </w:rPr>
        <w:t xml:space="preserve"> Mountain</w:t>
      </w:r>
      <w:r w:rsidRPr="0016379E">
        <w:rPr>
          <w:rFonts w:ascii="Times New Roman" w:hAnsi="Times New Roman"/>
          <w:sz w:val="24"/>
          <w:szCs w:val="24"/>
        </w:rPr>
        <w:t xml:space="preserve"> as biofertilizers. From the exploration results, functional fungal species were obtained that can be used as material for biofertilizers. The test results of the fungal consortium as a biofertilizer w</w:t>
      </w:r>
      <w:r w:rsidR="005460B0">
        <w:rPr>
          <w:rFonts w:ascii="Times New Roman" w:hAnsi="Times New Roman"/>
          <w:sz w:val="24"/>
          <w:szCs w:val="24"/>
        </w:rPr>
        <w:t>ere able to increase growth in P</w:t>
      </w:r>
      <w:r w:rsidRPr="0016379E">
        <w:rPr>
          <w:rFonts w:ascii="Times New Roman" w:hAnsi="Times New Roman"/>
          <w:sz w:val="24"/>
          <w:szCs w:val="24"/>
        </w:rPr>
        <w:t>akcoy plants (</w:t>
      </w:r>
      <w:r w:rsidRPr="0016379E">
        <w:rPr>
          <w:rFonts w:ascii="Times New Roman" w:hAnsi="Times New Roman"/>
          <w:i/>
          <w:sz w:val="24"/>
          <w:szCs w:val="24"/>
        </w:rPr>
        <w:t>Brassica rapa L</w:t>
      </w:r>
      <w:r w:rsidRPr="0016379E">
        <w:rPr>
          <w:rFonts w:ascii="Times New Roman" w:hAnsi="Times New Roman"/>
          <w:sz w:val="24"/>
          <w:szCs w:val="24"/>
        </w:rPr>
        <w:t>.). The use of fungal consortium four land use on the western slope of Lawu</w:t>
      </w:r>
      <w:r w:rsidR="004E0DA6">
        <w:rPr>
          <w:rFonts w:ascii="Times New Roman" w:hAnsi="Times New Roman"/>
          <w:sz w:val="24"/>
          <w:szCs w:val="24"/>
        </w:rPr>
        <w:t xml:space="preserve"> </w:t>
      </w:r>
      <w:r w:rsidR="004E0DA6" w:rsidRPr="0016379E">
        <w:rPr>
          <w:rFonts w:ascii="Times New Roman" w:hAnsi="Times New Roman"/>
          <w:sz w:val="24"/>
          <w:szCs w:val="24"/>
        </w:rPr>
        <w:t>Mount</w:t>
      </w:r>
      <w:r w:rsidR="004E0DA6">
        <w:rPr>
          <w:rFonts w:ascii="Times New Roman" w:hAnsi="Times New Roman"/>
          <w:sz w:val="24"/>
          <w:szCs w:val="24"/>
        </w:rPr>
        <w:t xml:space="preserve">ain </w:t>
      </w:r>
      <w:r w:rsidRPr="0016379E">
        <w:rPr>
          <w:rFonts w:ascii="Times New Roman" w:hAnsi="Times New Roman"/>
          <w:sz w:val="24"/>
          <w:szCs w:val="24"/>
        </w:rPr>
        <w:t>as a biofertilizer is expected to be used as an alternative to reduce the use of inorganic fertilizers.</w:t>
      </w:r>
    </w:p>
    <w:p w:rsidR="00A66D61" w:rsidRPr="00763C0A" w:rsidRDefault="00A66D61" w:rsidP="00A66D61">
      <w:pPr>
        <w:spacing w:after="0" w:line="480" w:lineRule="auto"/>
        <w:jc w:val="both"/>
        <w:rPr>
          <w:rFonts w:ascii="Times New Roman" w:hAnsi="Times New Roman" w:cs="Times New Roman"/>
          <w:sz w:val="24"/>
          <w:szCs w:val="24"/>
        </w:rPr>
      </w:pPr>
      <w:r w:rsidRPr="00AB413B">
        <w:rPr>
          <w:rFonts w:ascii="Times New Roman" w:hAnsi="Times New Roman" w:cs="Times New Roman"/>
          <w:b/>
          <w:sz w:val="24"/>
          <w:szCs w:val="24"/>
        </w:rPr>
        <w:t>Abstract</w:t>
      </w:r>
    </w:p>
    <w:p w:rsidR="005460B0" w:rsidRPr="006D0083" w:rsidRDefault="005460B0" w:rsidP="005460B0">
      <w:pPr>
        <w:spacing w:after="0" w:line="480" w:lineRule="auto"/>
        <w:ind w:firstLine="567"/>
        <w:jc w:val="both"/>
        <w:rPr>
          <w:rFonts w:ascii="Times New Roman" w:hAnsi="Times New Roman" w:cs="Times New Roman"/>
          <w:sz w:val="24"/>
          <w:szCs w:val="24"/>
        </w:rPr>
      </w:pPr>
      <w:r w:rsidRPr="006D0083">
        <w:rPr>
          <w:rFonts w:ascii="Times New Roman" w:hAnsi="Times New Roman" w:cs="Times New Roman"/>
          <w:sz w:val="24"/>
          <w:szCs w:val="24"/>
        </w:rPr>
        <w:t>The mountainside area is one example of an area that has potential for agricultural development and</w:t>
      </w:r>
      <w:r>
        <w:rPr>
          <w:rFonts w:ascii="Times New Roman" w:hAnsi="Times New Roman" w:cs="Times New Roman"/>
          <w:sz w:val="24"/>
          <w:szCs w:val="24"/>
        </w:rPr>
        <w:t xml:space="preserve"> it</w:t>
      </w:r>
      <w:r w:rsidRPr="006D0083">
        <w:rPr>
          <w:rFonts w:ascii="Times New Roman" w:hAnsi="Times New Roman" w:cs="Times New Roman"/>
          <w:sz w:val="24"/>
          <w:szCs w:val="24"/>
        </w:rPr>
        <w:t xml:space="preserve"> is very interesting to </w:t>
      </w:r>
      <w:r>
        <w:rPr>
          <w:rFonts w:ascii="Times New Roman" w:hAnsi="Times New Roman" w:cs="Times New Roman"/>
          <w:sz w:val="24"/>
          <w:szCs w:val="24"/>
        </w:rPr>
        <w:t>be studied</w:t>
      </w:r>
      <w:r w:rsidRPr="006D0083">
        <w:rPr>
          <w:rFonts w:ascii="Times New Roman" w:hAnsi="Times New Roman" w:cs="Times New Roman"/>
          <w:sz w:val="24"/>
          <w:szCs w:val="24"/>
        </w:rPr>
        <w:t xml:space="preserve">. </w:t>
      </w:r>
      <w:r w:rsidR="00A67CC4" w:rsidRPr="00A67CC4">
        <w:rPr>
          <w:rFonts w:ascii="Times New Roman" w:hAnsi="Times New Roman" w:cs="Times New Roman"/>
          <w:sz w:val="24"/>
          <w:szCs w:val="24"/>
        </w:rPr>
        <w:t>The research aimed to explore fungi in paddy fields (LS), forest land (LH), vegetable garden land (LY), and residential land (LP) on</w:t>
      </w:r>
      <w:r w:rsidR="00A67CC4">
        <w:rPr>
          <w:rFonts w:ascii="Times New Roman" w:hAnsi="Times New Roman" w:cs="Times New Roman"/>
          <w:sz w:val="24"/>
          <w:szCs w:val="24"/>
        </w:rPr>
        <w:t xml:space="preserve"> the western slope of Lawu Mountain</w:t>
      </w:r>
      <w:r w:rsidR="00A67CC4" w:rsidRPr="00A67CC4">
        <w:rPr>
          <w:rFonts w:ascii="Times New Roman" w:hAnsi="Times New Roman" w:cs="Times New Roman"/>
          <w:sz w:val="24"/>
          <w:szCs w:val="24"/>
        </w:rPr>
        <w:t>.</w:t>
      </w:r>
      <w:r w:rsidRPr="006D0083">
        <w:rPr>
          <w:rFonts w:ascii="Times New Roman" w:hAnsi="Times New Roman" w:cs="Times New Roman"/>
          <w:sz w:val="24"/>
          <w:szCs w:val="24"/>
        </w:rPr>
        <w:t xml:space="preserve"> This resear</w:t>
      </w:r>
      <w:r>
        <w:rPr>
          <w:rFonts w:ascii="Times New Roman" w:hAnsi="Times New Roman" w:cs="Times New Roman"/>
          <w:sz w:val="24"/>
          <w:szCs w:val="24"/>
        </w:rPr>
        <w:t>ch consisted of two types, which were</w:t>
      </w:r>
      <w:r w:rsidRPr="006D0083">
        <w:rPr>
          <w:rFonts w:ascii="Times New Roman" w:hAnsi="Times New Roman" w:cs="Times New Roman"/>
          <w:sz w:val="24"/>
          <w:szCs w:val="24"/>
        </w:rPr>
        <w:t xml:space="preserve"> descriptive-exploratory a</w:t>
      </w:r>
      <w:r>
        <w:rPr>
          <w:rFonts w:ascii="Times New Roman" w:hAnsi="Times New Roman" w:cs="Times New Roman"/>
          <w:sz w:val="24"/>
          <w:szCs w:val="24"/>
        </w:rPr>
        <w:t>nd experimental in the greenhouse with P</w:t>
      </w:r>
      <w:r w:rsidRPr="006D0083">
        <w:rPr>
          <w:rFonts w:ascii="Times New Roman" w:hAnsi="Times New Roman" w:cs="Times New Roman"/>
          <w:sz w:val="24"/>
          <w:szCs w:val="24"/>
        </w:rPr>
        <w:t>akcoy (</w:t>
      </w:r>
      <w:r w:rsidRPr="006D0083">
        <w:rPr>
          <w:rFonts w:ascii="Times New Roman" w:hAnsi="Times New Roman" w:cs="Times New Roman"/>
          <w:i/>
          <w:sz w:val="24"/>
          <w:szCs w:val="24"/>
        </w:rPr>
        <w:t>Brassica rapa L</w:t>
      </w:r>
      <w:r w:rsidRPr="006D0083">
        <w:rPr>
          <w:rFonts w:ascii="Times New Roman" w:hAnsi="Times New Roman" w:cs="Times New Roman"/>
          <w:sz w:val="24"/>
          <w:szCs w:val="24"/>
        </w:rPr>
        <w:t>.) as the test plant. Fungal isolation was carried o</w:t>
      </w:r>
      <w:r w:rsidR="00543DD9">
        <w:rPr>
          <w:rFonts w:ascii="Times New Roman" w:hAnsi="Times New Roman" w:cs="Times New Roman"/>
          <w:sz w:val="24"/>
          <w:szCs w:val="24"/>
        </w:rPr>
        <w:t xml:space="preserve">ut by culturing soil samples on PDA (Potato Dextrose Agar) </w:t>
      </w:r>
      <w:r>
        <w:rPr>
          <w:rFonts w:ascii="Times New Roman" w:hAnsi="Times New Roman" w:cs="Times New Roman"/>
          <w:sz w:val="24"/>
          <w:szCs w:val="24"/>
        </w:rPr>
        <w:t>medium</w:t>
      </w:r>
      <w:r w:rsidRPr="006D0083">
        <w:rPr>
          <w:rFonts w:ascii="Times New Roman" w:hAnsi="Times New Roman" w:cs="Times New Roman"/>
          <w:sz w:val="24"/>
          <w:szCs w:val="24"/>
        </w:rPr>
        <w:t xml:space="preserve"> with the spread plate method and then </w:t>
      </w:r>
      <w:r w:rsidRPr="006D0083">
        <w:rPr>
          <w:rFonts w:ascii="Times New Roman" w:hAnsi="Times New Roman" w:cs="Times New Roman"/>
          <w:sz w:val="24"/>
          <w:szCs w:val="24"/>
        </w:rPr>
        <w:lastRenderedPageBreak/>
        <w:t>observed for morphology, physiology, and molecular. Biofertilizer production was done by culturin</w:t>
      </w:r>
      <w:r>
        <w:rPr>
          <w:rFonts w:ascii="Times New Roman" w:hAnsi="Times New Roman" w:cs="Times New Roman"/>
          <w:sz w:val="24"/>
          <w:szCs w:val="24"/>
        </w:rPr>
        <w:t xml:space="preserve">g the fungal consortium on </w:t>
      </w:r>
      <w:r w:rsidR="00543DD9">
        <w:rPr>
          <w:rFonts w:ascii="Times New Roman" w:hAnsi="Times New Roman" w:cs="Times New Roman"/>
          <w:sz w:val="24"/>
          <w:szCs w:val="24"/>
        </w:rPr>
        <w:t>PDB (</w:t>
      </w:r>
      <w:r>
        <w:rPr>
          <w:rFonts w:ascii="Times New Roman" w:hAnsi="Times New Roman" w:cs="Times New Roman"/>
          <w:sz w:val="24"/>
          <w:szCs w:val="24"/>
        </w:rPr>
        <w:t>Potato Dextrose Broth</w:t>
      </w:r>
      <w:r w:rsidR="00543DD9">
        <w:rPr>
          <w:rFonts w:ascii="Times New Roman" w:hAnsi="Times New Roman" w:cs="Times New Roman"/>
          <w:sz w:val="24"/>
          <w:szCs w:val="24"/>
        </w:rPr>
        <w:t>)</w:t>
      </w:r>
      <w:r>
        <w:rPr>
          <w:rFonts w:ascii="Times New Roman" w:hAnsi="Times New Roman" w:cs="Times New Roman"/>
          <w:sz w:val="24"/>
          <w:szCs w:val="24"/>
        </w:rPr>
        <w:t xml:space="preserve"> medium</w:t>
      </w:r>
      <w:r w:rsidRPr="006D0083">
        <w:rPr>
          <w:rFonts w:ascii="Times New Roman" w:hAnsi="Times New Roman" w:cs="Times New Roman"/>
          <w:sz w:val="24"/>
          <w:szCs w:val="24"/>
        </w:rPr>
        <w:t xml:space="preserve">. </w:t>
      </w:r>
      <w:r w:rsidR="00547FFB" w:rsidRPr="00547FFB">
        <w:rPr>
          <w:rFonts w:ascii="Times New Roman" w:hAnsi="Times New Roman" w:cs="Times New Roman"/>
          <w:sz w:val="24"/>
          <w:szCs w:val="24"/>
        </w:rPr>
        <w:t>Pakcoy planting was done using a Randomized Complete Block Design (CRD) with regosol soil as the planting media.</w:t>
      </w:r>
      <w:r w:rsidR="00547FFB">
        <w:rPr>
          <w:rFonts w:ascii="Times New Roman" w:hAnsi="Times New Roman" w:cs="Times New Roman"/>
          <w:sz w:val="24"/>
          <w:szCs w:val="24"/>
        </w:rPr>
        <w:t xml:space="preserve"> </w:t>
      </w:r>
      <w:r w:rsidR="00547FFB" w:rsidRPr="00547FFB">
        <w:rPr>
          <w:rFonts w:ascii="Times New Roman" w:hAnsi="Times New Roman" w:cs="Times New Roman"/>
          <w:sz w:val="24"/>
          <w:szCs w:val="24"/>
        </w:rPr>
        <w:t>Plant height and leaf number were observed</w:t>
      </w:r>
      <w:r w:rsidRPr="006D0083">
        <w:rPr>
          <w:rFonts w:ascii="Times New Roman" w:hAnsi="Times New Roman" w:cs="Times New Roman"/>
          <w:sz w:val="24"/>
          <w:szCs w:val="24"/>
        </w:rPr>
        <w:t>. The research was conducted from May 2022 to February 2023. The results of fungal isolation obtai</w:t>
      </w:r>
      <w:r>
        <w:rPr>
          <w:rFonts w:ascii="Times New Roman" w:hAnsi="Times New Roman" w:cs="Times New Roman"/>
          <w:sz w:val="24"/>
          <w:szCs w:val="24"/>
        </w:rPr>
        <w:t>ned four fungal species, in rice fields (LS) there were</w:t>
      </w:r>
      <w:r w:rsidRPr="006D0083">
        <w:rPr>
          <w:rFonts w:ascii="Times New Roman" w:hAnsi="Times New Roman" w:cs="Times New Roman"/>
          <w:sz w:val="24"/>
          <w:szCs w:val="24"/>
        </w:rPr>
        <w:t xml:space="preserve"> fungal species </w:t>
      </w:r>
      <w:r w:rsidRPr="006D0083">
        <w:rPr>
          <w:rFonts w:ascii="Times New Roman" w:hAnsi="Times New Roman" w:cs="Times New Roman"/>
          <w:i/>
          <w:sz w:val="24"/>
          <w:szCs w:val="24"/>
        </w:rPr>
        <w:t>Aspergillus ibericus</w:t>
      </w:r>
      <w:r w:rsidRPr="006D0083">
        <w:rPr>
          <w:rFonts w:ascii="Times New Roman" w:hAnsi="Times New Roman" w:cs="Times New Roman"/>
          <w:sz w:val="24"/>
          <w:szCs w:val="24"/>
        </w:rPr>
        <w:t xml:space="preserve"> and </w:t>
      </w:r>
      <w:r w:rsidRPr="006D0083">
        <w:rPr>
          <w:rFonts w:ascii="Times New Roman" w:hAnsi="Times New Roman" w:cs="Times New Roman"/>
          <w:i/>
          <w:sz w:val="24"/>
          <w:szCs w:val="24"/>
        </w:rPr>
        <w:t>Aspergillus flavus</w:t>
      </w:r>
      <w:r>
        <w:rPr>
          <w:rFonts w:ascii="Times New Roman" w:hAnsi="Times New Roman" w:cs="Times New Roman"/>
          <w:sz w:val="24"/>
          <w:szCs w:val="24"/>
        </w:rPr>
        <w:t>, in forest land (LH) there were</w:t>
      </w:r>
      <w:r w:rsidRPr="006D0083">
        <w:rPr>
          <w:rFonts w:ascii="Times New Roman" w:hAnsi="Times New Roman" w:cs="Times New Roman"/>
          <w:sz w:val="24"/>
          <w:szCs w:val="24"/>
        </w:rPr>
        <w:t xml:space="preserve"> fungal species </w:t>
      </w:r>
      <w:r w:rsidRPr="006D0083">
        <w:rPr>
          <w:rFonts w:ascii="Times New Roman" w:hAnsi="Times New Roman" w:cs="Times New Roman"/>
          <w:i/>
          <w:sz w:val="24"/>
          <w:szCs w:val="24"/>
        </w:rPr>
        <w:t>Aspergillus sp</w:t>
      </w:r>
      <w:r w:rsidRPr="006D0083">
        <w:rPr>
          <w:rFonts w:ascii="Times New Roman" w:hAnsi="Times New Roman" w:cs="Times New Roman"/>
          <w:sz w:val="24"/>
          <w:szCs w:val="24"/>
        </w:rPr>
        <w:t xml:space="preserve">., </w:t>
      </w:r>
      <w:r w:rsidRPr="006D0083">
        <w:rPr>
          <w:rFonts w:ascii="Times New Roman" w:hAnsi="Times New Roman" w:cs="Times New Roman"/>
          <w:i/>
          <w:sz w:val="24"/>
          <w:szCs w:val="24"/>
        </w:rPr>
        <w:t>Aspergillus ibericus</w:t>
      </w:r>
      <w:r w:rsidRPr="006D0083">
        <w:rPr>
          <w:rFonts w:ascii="Times New Roman" w:hAnsi="Times New Roman" w:cs="Times New Roman"/>
          <w:sz w:val="24"/>
          <w:szCs w:val="24"/>
        </w:rPr>
        <w:t xml:space="preserve">, </w:t>
      </w:r>
      <w:r w:rsidRPr="006D0083">
        <w:rPr>
          <w:rFonts w:ascii="Times New Roman" w:hAnsi="Times New Roman" w:cs="Times New Roman"/>
          <w:i/>
          <w:sz w:val="24"/>
          <w:szCs w:val="24"/>
        </w:rPr>
        <w:t>Aspergilus aculeatus</w:t>
      </w:r>
      <w:r w:rsidRPr="006D0083">
        <w:rPr>
          <w:rFonts w:ascii="Times New Roman" w:hAnsi="Times New Roman" w:cs="Times New Roman"/>
          <w:sz w:val="24"/>
          <w:szCs w:val="24"/>
        </w:rPr>
        <w:t xml:space="preserve">, and </w:t>
      </w:r>
      <w:r w:rsidRPr="006D0083">
        <w:rPr>
          <w:rFonts w:ascii="Times New Roman" w:hAnsi="Times New Roman" w:cs="Times New Roman"/>
          <w:i/>
          <w:sz w:val="24"/>
          <w:szCs w:val="24"/>
        </w:rPr>
        <w:t>Aspergillus flavus</w:t>
      </w:r>
      <w:r>
        <w:rPr>
          <w:rFonts w:ascii="Times New Roman" w:hAnsi="Times New Roman" w:cs="Times New Roman"/>
          <w:sz w:val="24"/>
          <w:szCs w:val="24"/>
        </w:rPr>
        <w:t>, in vegetable garden land (LY) and residential land (LP) there were</w:t>
      </w:r>
      <w:r w:rsidRPr="006D0083">
        <w:rPr>
          <w:rFonts w:ascii="Times New Roman" w:hAnsi="Times New Roman" w:cs="Times New Roman"/>
          <w:sz w:val="24"/>
          <w:szCs w:val="24"/>
        </w:rPr>
        <w:t xml:space="preserve"> fungal species </w:t>
      </w:r>
      <w:r w:rsidRPr="006D0083">
        <w:rPr>
          <w:rFonts w:ascii="Times New Roman" w:hAnsi="Times New Roman" w:cs="Times New Roman"/>
          <w:i/>
          <w:sz w:val="24"/>
          <w:szCs w:val="24"/>
        </w:rPr>
        <w:t>Aspergilus aculeatus</w:t>
      </w:r>
      <w:r w:rsidRPr="006D0083">
        <w:rPr>
          <w:rFonts w:ascii="Times New Roman" w:hAnsi="Times New Roman" w:cs="Times New Roman"/>
          <w:sz w:val="24"/>
          <w:szCs w:val="24"/>
        </w:rPr>
        <w:t xml:space="preserve"> and </w:t>
      </w:r>
      <w:r w:rsidRPr="006D0083">
        <w:rPr>
          <w:rFonts w:ascii="Times New Roman" w:hAnsi="Times New Roman" w:cs="Times New Roman"/>
          <w:i/>
          <w:sz w:val="24"/>
          <w:szCs w:val="24"/>
        </w:rPr>
        <w:t>Aspergillus flavus</w:t>
      </w:r>
      <w:r w:rsidRPr="006D0083">
        <w:rPr>
          <w:rFonts w:ascii="Times New Roman" w:hAnsi="Times New Roman" w:cs="Times New Roman"/>
          <w:sz w:val="24"/>
          <w:szCs w:val="24"/>
        </w:rPr>
        <w:t xml:space="preserve">. The test results of the potential of the fungal consortium as a biofertilizer showed that </w:t>
      </w:r>
      <w:r>
        <w:rPr>
          <w:rFonts w:ascii="Times New Roman" w:hAnsi="Times New Roman" w:cs="Times New Roman"/>
          <w:sz w:val="24"/>
          <w:szCs w:val="24"/>
        </w:rPr>
        <w:t>t</w:t>
      </w:r>
      <w:r w:rsidRPr="006D0083">
        <w:rPr>
          <w:rFonts w:ascii="Times New Roman" w:hAnsi="Times New Roman" w:cs="Times New Roman"/>
          <w:sz w:val="24"/>
          <w:szCs w:val="24"/>
        </w:rPr>
        <w:t>he</w:t>
      </w:r>
      <w:r>
        <w:rPr>
          <w:rFonts w:ascii="Times New Roman" w:hAnsi="Times New Roman" w:cs="Times New Roman"/>
          <w:sz w:val="24"/>
          <w:szCs w:val="24"/>
        </w:rPr>
        <w:t xml:space="preserve"> </w:t>
      </w:r>
      <w:r w:rsidR="006B1CAF">
        <w:rPr>
          <w:rFonts w:ascii="Times New Roman" w:hAnsi="Times New Roman" w:cs="Times New Roman"/>
          <w:sz w:val="24"/>
          <w:szCs w:val="24"/>
        </w:rPr>
        <w:t>forest land</w:t>
      </w:r>
      <w:r w:rsidR="008C1F2E">
        <w:rPr>
          <w:rFonts w:ascii="Times New Roman" w:hAnsi="Times New Roman" w:cs="Times New Roman"/>
          <w:sz w:val="24"/>
          <w:szCs w:val="24"/>
        </w:rPr>
        <w:t xml:space="preserve"> (</w:t>
      </w:r>
      <w:r>
        <w:rPr>
          <w:rFonts w:ascii="Times New Roman" w:hAnsi="Times New Roman" w:cs="Times New Roman"/>
          <w:sz w:val="24"/>
          <w:szCs w:val="24"/>
        </w:rPr>
        <w:t>LH</w:t>
      </w:r>
      <w:r w:rsidR="008C1F2E">
        <w:rPr>
          <w:rFonts w:ascii="Times New Roman" w:hAnsi="Times New Roman" w:cs="Times New Roman"/>
          <w:sz w:val="24"/>
          <w:szCs w:val="24"/>
        </w:rPr>
        <w:t>)</w:t>
      </w:r>
      <w:r>
        <w:rPr>
          <w:rFonts w:ascii="Times New Roman" w:hAnsi="Times New Roman" w:cs="Times New Roman"/>
          <w:sz w:val="24"/>
          <w:szCs w:val="24"/>
        </w:rPr>
        <w:t xml:space="preserve"> fungal consortium treatment </w:t>
      </w:r>
      <w:r w:rsidRPr="006D0083">
        <w:rPr>
          <w:rFonts w:ascii="Times New Roman" w:hAnsi="Times New Roman" w:cs="Times New Roman"/>
          <w:sz w:val="24"/>
          <w:szCs w:val="24"/>
        </w:rPr>
        <w:t>g</w:t>
      </w:r>
      <w:r w:rsidR="00072ABE">
        <w:rPr>
          <w:rFonts w:ascii="Times New Roman" w:hAnsi="Times New Roman" w:cs="Times New Roman"/>
          <w:sz w:val="24"/>
          <w:szCs w:val="24"/>
        </w:rPr>
        <w:t xml:space="preserve">ave the best average result </w:t>
      </w:r>
      <w:r w:rsidR="008C1F2E">
        <w:rPr>
          <w:rFonts w:ascii="Times New Roman" w:hAnsi="Times New Roman" w:cs="Times New Roman"/>
          <w:sz w:val="24"/>
          <w:szCs w:val="24"/>
        </w:rPr>
        <w:t>in P</w:t>
      </w:r>
      <w:r>
        <w:rPr>
          <w:rFonts w:ascii="Times New Roman" w:hAnsi="Times New Roman" w:cs="Times New Roman"/>
          <w:sz w:val="24"/>
          <w:szCs w:val="24"/>
        </w:rPr>
        <w:t>akcoy plants</w:t>
      </w:r>
      <w:r w:rsidR="00072ABE">
        <w:rPr>
          <w:rFonts w:ascii="Times New Roman" w:hAnsi="Times New Roman" w:cs="Times New Roman"/>
          <w:sz w:val="24"/>
          <w:szCs w:val="24"/>
        </w:rPr>
        <w:t xml:space="preserve"> yields</w:t>
      </w:r>
      <w:r>
        <w:rPr>
          <w:rFonts w:ascii="Times New Roman" w:hAnsi="Times New Roman" w:cs="Times New Roman"/>
          <w:sz w:val="24"/>
          <w:szCs w:val="24"/>
        </w:rPr>
        <w:t>.</w:t>
      </w:r>
      <w:r w:rsidRPr="006D0083">
        <w:rPr>
          <w:rFonts w:ascii="Times New Roman" w:hAnsi="Times New Roman" w:cs="Times New Roman"/>
          <w:sz w:val="24"/>
          <w:szCs w:val="24"/>
        </w:rPr>
        <w:t xml:space="preserve"> </w:t>
      </w:r>
    </w:p>
    <w:p w:rsidR="0016379E" w:rsidRDefault="006D0083" w:rsidP="00A95C84">
      <w:pPr>
        <w:spacing w:after="0" w:line="480" w:lineRule="auto"/>
        <w:jc w:val="both"/>
        <w:rPr>
          <w:rFonts w:ascii="Times New Roman" w:hAnsi="Times New Roman" w:cs="Times New Roman"/>
          <w:sz w:val="24"/>
          <w:szCs w:val="24"/>
        </w:rPr>
      </w:pPr>
      <w:r w:rsidRPr="006D0083">
        <w:rPr>
          <w:rFonts w:ascii="Times New Roman" w:hAnsi="Times New Roman" w:cs="Times New Roman"/>
          <w:b/>
          <w:sz w:val="24"/>
          <w:szCs w:val="24"/>
        </w:rPr>
        <w:t>Keywords:</w:t>
      </w:r>
      <w:r w:rsidR="00D039CD">
        <w:rPr>
          <w:rFonts w:ascii="Times New Roman" w:hAnsi="Times New Roman" w:cs="Times New Roman"/>
          <w:sz w:val="24"/>
          <w:szCs w:val="24"/>
        </w:rPr>
        <w:t xml:space="preserve"> Lawu Mountain</w:t>
      </w:r>
      <w:r w:rsidRPr="006D0083">
        <w:rPr>
          <w:rFonts w:ascii="Times New Roman" w:hAnsi="Times New Roman" w:cs="Times New Roman"/>
          <w:sz w:val="24"/>
          <w:szCs w:val="24"/>
        </w:rPr>
        <w:t xml:space="preserve">, </w:t>
      </w:r>
      <w:r w:rsidR="00D039CD" w:rsidRPr="006D0083">
        <w:rPr>
          <w:rFonts w:ascii="Times New Roman" w:hAnsi="Times New Roman" w:cs="Times New Roman"/>
          <w:sz w:val="24"/>
          <w:szCs w:val="24"/>
        </w:rPr>
        <w:t>Land Use</w:t>
      </w:r>
      <w:r w:rsidR="00D039CD">
        <w:rPr>
          <w:rFonts w:ascii="Times New Roman" w:hAnsi="Times New Roman" w:cs="Times New Roman"/>
          <w:sz w:val="24"/>
          <w:szCs w:val="24"/>
        </w:rPr>
        <w:t xml:space="preserve">, </w:t>
      </w:r>
      <w:r w:rsidR="00D039CD" w:rsidRPr="006D0083">
        <w:rPr>
          <w:rFonts w:ascii="Times New Roman" w:hAnsi="Times New Roman" w:cs="Times New Roman"/>
          <w:sz w:val="24"/>
          <w:szCs w:val="24"/>
        </w:rPr>
        <w:t>Fungi</w:t>
      </w:r>
      <w:r w:rsidR="00D039CD">
        <w:rPr>
          <w:rFonts w:ascii="Times New Roman" w:hAnsi="Times New Roman" w:cs="Times New Roman"/>
          <w:sz w:val="24"/>
          <w:szCs w:val="24"/>
        </w:rPr>
        <w:t xml:space="preserve">, </w:t>
      </w:r>
      <w:r w:rsidR="00D039CD" w:rsidRPr="006D0083">
        <w:rPr>
          <w:rFonts w:ascii="Times New Roman" w:hAnsi="Times New Roman" w:cs="Times New Roman"/>
          <w:sz w:val="24"/>
          <w:szCs w:val="24"/>
        </w:rPr>
        <w:t>Exploration</w:t>
      </w:r>
      <w:r w:rsidR="00D039CD">
        <w:rPr>
          <w:rFonts w:ascii="Times New Roman" w:hAnsi="Times New Roman" w:cs="Times New Roman"/>
          <w:sz w:val="24"/>
          <w:szCs w:val="24"/>
        </w:rPr>
        <w:t>, Biofertilizer</w:t>
      </w:r>
    </w:p>
    <w:p w:rsidR="00A95C84" w:rsidRPr="00A95C84" w:rsidRDefault="00A95C84" w:rsidP="00A95C84">
      <w:pPr>
        <w:spacing w:after="0" w:line="480" w:lineRule="auto"/>
        <w:jc w:val="both"/>
        <w:rPr>
          <w:rFonts w:ascii="Times New Roman" w:hAnsi="Times New Roman" w:cs="Times New Roman"/>
          <w:b/>
          <w:sz w:val="24"/>
          <w:szCs w:val="24"/>
        </w:rPr>
      </w:pPr>
      <w:r w:rsidRPr="009059E1">
        <w:rPr>
          <w:rFonts w:ascii="Times New Roman" w:hAnsi="Times New Roman" w:cs="Times New Roman"/>
          <w:b/>
          <w:sz w:val="24"/>
          <w:szCs w:val="24"/>
        </w:rPr>
        <w:t>Introduction</w:t>
      </w:r>
    </w:p>
    <w:p w:rsidR="00A95C84" w:rsidRDefault="00A95C84" w:rsidP="00A95C84">
      <w:pPr>
        <w:spacing w:after="0" w:line="480" w:lineRule="auto"/>
        <w:ind w:firstLine="567"/>
        <w:jc w:val="both"/>
        <w:rPr>
          <w:rFonts w:ascii="Times New Roman" w:hAnsi="Times New Roman" w:cs="Times New Roman"/>
          <w:sz w:val="24"/>
          <w:szCs w:val="24"/>
        </w:rPr>
      </w:pPr>
      <w:r w:rsidRPr="00A95C84">
        <w:rPr>
          <w:rFonts w:ascii="Times New Roman" w:hAnsi="Times New Roman" w:cs="Times New Roman"/>
          <w:sz w:val="24"/>
          <w:szCs w:val="24"/>
        </w:rPr>
        <w:t>Lawu</w:t>
      </w:r>
      <w:r w:rsidR="008A0F1C">
        <w:rPr>
          <w:rFonts w:ascii="Times New Roman" w:hAnsi="Times New Roman" w:cs="Times New Roman"/>
          <w:sz w:val="24"/>
          <w:szCs w:val="24"/>
        </w:rPr>
        <w:t xml:space="preserve"> Mountain</w:t>
      </w:r>
      <w:r w:rsidRPr="00A95C84">
        <w:rPr>
          <w:rFonts w:ascii="Times New Roman" w:hAnsi="Times New Roman" w:cs="Times New Roman"/>
          <w:sz w:val="24"/>
          <w:szCs w:val="24"/>
        </w:rPr>
        <w:t xml:space="preserve"> is a mountain located on the border between East Java Prov</w:t>
      </w:r>
      <w:r w:rsidR="007B6580">
        <w:rPr>
          <w:rFonts w:ascii="Times New Roman" w:hAnsi="Times New Roman" w:cs="Times New Roman"/>
          <w:sz w:val="24"/>
          <w:szCs w:val="24"/>
        </w:rPr>
        <w:t xml:space="preserve">ince and Central Java Province. </w:t>
      </w:r>
      <w:r w:rsidRPr="00A95C84">
        <w:rPr>
          <w:rFonts w:ascii="Times New Roman" w:hAnsi="Times New Roman" w:cs="Times New Roman"/>
          <w:sz w:val="24"/>
          <w:szCs w:val="24"/>
        </w:rPr>
        <w:t>According to Noviani et al. (2020), most of the</w:t>
      </w:r>
      <w:r w:rsidR="008A0F1C">
        <w:rPr>
          <w:rFonts w:ascii="Times New Roman" w:hAnsi="Times New Roman" w:cs="Times New Roman"/>
          <w:sz w:val="24"/>
          <w:szCs w:val="24"/>
        </w:rPr>
        <w:t xml:space="preserve"> soil types on </w:t>
      </w:r>
      <w:r w:rsidRPr="00A95C84">
        <w:rPr>
          <w:rFonts w:ascii="Times New Roman" w:hAnsi="Times New Roman" w:cs="Times New Roman"/>
          <w:sz w:val="24"/>
          <w:szCs w:val="24"/>
        </w:rPr>
        <w:t>Lawu</w:t>
      </w:r>
      <w:r w:rsidR="008A0F1C">
        <w:rPr>
          <w:rFonts w:ascii="Times New Roman" w:hAnsi="Times New Roman" w:cs="Times New Roman"/>
          <w:sz w:val="24"/>
          <w:szCs w:val="24"/>
        </w:rPr>
        <w:t xml:space="preserve"> Mountain</w:t>
      </w:r>
      <w:r w:rsidRPr="00A95C84">
        <w:rPr>
          <w:rFonts w:ascii="Times New Roman" w:hAnsi="Times New Roman" w:cs="Times New Roman"/>
          <w:sz w:val="24"/>
          <w:szCs w:val="24"/>
        </w:rPr>
        <w:t xml:space="preserve"> are Andisol soils. Vistoso et al. (2021) stated that volcanic soils such as Andisol have low available phosphorus (P) content.  According to Poblete-Grant et al. (2020), Andisol soils are rich in minerals such as allophane, imogilite, iron (Fe), and aluminum (Al) which cause high phosphorus (P) uptake in Andisol soils. Different types of land use will affect the abundance of microorganisms in the soil. Based on the results of research conducted by Moora et al. (2014), it can be seen that different types of land use will affect the type and abundance of fungi in the soil. This allows the </w:t>
      </w:r>
      <w:r w:rsidR="00A9123F" w:rsidRPr="00A9123F">
        <w:rPr>
          <w:rFonts w:ascii="Times New Roman" w:hAnsi="Times New Roman" w:cs="Times New Roman"/>
          <w:sz w:val="24"/>
          <w:szCs w:val="24"/>
        </w:rPr>
        <w:t>existence</w:t>
      </w:r>
      <w:r w:rsidRPr="00A95C84">
        <w:rPr>
          <w:rFonts w:ascii="Times New Roman" w:hAnsi="Times New Roman" w:cs="Times New Roman"/>
          <w:sz w:val="24"/>
          <w:szCs w:val="24"/>
        </w:rPr>
        <w:t xml:space="preserve"> of functional fungi such as phosphate (P) solubilizing fungi, potassium (K) </w:t>
      </w:r>
      <w:r w:rsidRPr="00A95C84">
        <w:rPr>
          <w:rFonts w:ascii="Times New Roman" w:hAnsi="Times New Roman" w:cs="Times New Roman"/>
          <w:sz w:val="24"/>
          <w:szCs w:val="24"/>
        </w:rPr>
        <w:lastRenderedPageBreak/>
        <w:t>solubilizing fungi, and nitrogen (N) fixing fungi in the soil so that the soil is interesting to be used as a source of isolates.</w:t>
      </w:r>
    </w:p>
    <w:p w:rsidR="00A95C84" w:rsidRDefault="00A95C84" w:rsidP="00A95C84">
      <w:pPr>
        <w:spacing w:after="0" w:line="480" w:lineRule="auto"/>
        <w:ind w:firstLine="567"/>
        <w:jc w:val="both"/>
        <w:rPr>
          <w:rFonts w:ascii="Times New Roman" w:hAnsi="Times New Roman" w:cs="Times New Roman"/>
          <w:sz w:val="24"/>
          <w:szCs w:val="24"/>
        </w:rPr>
      </w:pPr>
      <w:r w:rsidRPr="00A95C84">
        <w:rPr>
          <w:rFonts w:ascii="Times New Roman" w:hAnsi="Times New Roman" w:cs="Times New Roman"/>
          <w:sz w:val="24"/>
          <w:szCs w:val="24"/>
        </w:rPr>
        <w:t xml:space="preserve">One of the efforts made by farmers to increase agricultural products is to prioritize the use of inorganic fertilizers because they are considered easier to apply. Guo et al. (2021), stated that excessive use of inorganic fertilizers over a long time can cause serious problems such as soil degradation, greenhouse gas emissions, and food insecurity. To reduce the use of inorganic fertilizers, there is an alternative that can be used, </w:t>
      </w:r>
      <w:r w:rsidR="00931927">
        <w:rPr>
          <w:rFonts w:ascii="Times New Roman" w:hAnsi="Times New Roman" w:cs="Times New Roman"/>
          <w:sz w:val="24"/>
          <w:szCs w:val="24"/>
        </w:rPr>
        <w:t xml:space="preserve">specifically </w:t>
      </w:r>
      <w:r w:rsidRPr="00A95C84">
        <w:rPr>
          <w:rFonts w:ascii="Times New Roman" w:hAnsi="Times New Roman" w:cs="Times New Roman"/>
          <w:sz w:val="24"/>
          <w:szCs w:val="24"/>
        </w:rPr>
        <w:t xml:space="preserve">using biofertilizers by utilizing microorganisms such as functional fungi. According to Hammad et al. (2020), the use of organic fertilizers can improve soil quality and sustainable crop productivity because it has many functions in agroecosystems. </w:t>
      </w:r>
    </w:p>
    <w:p w:rsidR="00A95C84" w:rsidRDefault="00A95C84" w:rsidP="00A95C84">
      <w:pPr>
        <w:spacing w:after="0" w:line="480" w:lineRule="auto"/>
        <w:ind w:firstLine="567"/>
        <w:jc w:val="both"/>
        <w:rPr>
          <w:rFonts w:ascii="Times New Roman" w:hAnsi="Times New Roman" w:cs="Times New Roman"/>
          <w:sz w:val="24"/>
          <w:szCs w:val="24"/>
        </w:rPr>
      </w:pPr>
      <w:r w:rsidRPr="00A95C84">
        <w:rPr>
          <w:rFonts w:ascii="Times New Roman" w:hAnsi="Times New Roman" w:cs="Times New Roman"/>
          <w:sz w:val="24"/>
          <w:szCs w:val="24"/>
        </w:rPr>
        <w:t>Biofertilizer is</w:t>
      </w:r>
      <w:r w:rsidR="00A9123F">
        <w:rPr>
          <w:rFonts w:ascii="Times New Roman" w:hAnsi="Times New Roman" w:cs="Times New Roman"/>
          <w:sz w:val="24"/>
          <w:szCs w:val="24"/>
        </w:rPr>
        <w:t xml:space="preserve"> a fertilizer that contains active</w:t>
      </w:r>
      <w:r w:rsidRPr="00A95C84">
        <w:rPr>
          <w:rFonts w:ascii="Times New Roman" w:hAnsi="Times New Roman" w:cs="Times New Roman"/>
          <w:sz w:val="24"/>
          <w:szCs w:val="24"/>
        </w:rPr>
        <w:t xml:space="preserve"> microorganisms. According to Mohsen et al. (2022), a biofertilizer is a fertilizer that contains one or more microorganisms that can convert unavailable nutrients into more available to plants. Raimi et al. (2021), stated that the advantages of biological fertilizers compared to chemical fertilizers are more cost-effective, environmentally friendly, and ensure sustai</w:t>
      </w:r>
      <w:r>
        <w:rPr>
          <w:rFonts w:ascii="Times New Roman" w:hAnsi="Times New Roman" w:cs="Times New Roman"/>
          <w:sz w:val="24"/>
          <w:szCs w:val="24"/>
        </w:rPr>
        <w:t xml:space="preserve">nable agricultural production. </w:t>
      </w:r>
    </w:p>
    <w:p w:rsidR="00A95C84" w:rsidRDefault="00A95C84" w:rsidP="00A95C84">
      <w:pPr>
        <w:spacing w:after="0" w:line="480" w:lineRule="auto"/>
        <w:ind w:firstLine="567"/>
        <w:jc w:val="both"/>
        <w:rPr>
          <w:rFonts w:ascii="Times New Roman" w:hAnsi="Times New Roman" w:cs="Times New Roman"/>
          <w:sz w:val="24"/>
          <w:szCs w:val="24"/>
        </w:rPr>
      </w:pPr>
      <w:r w:rsidRPr="00A95C84">
        <w:rPr>
          <w:rFonts w:ascii="Times New Roman" w:hAnsi="Times New Roman" w:cs="Times New Roman"/>
          <w:sz w:val="24"/>
          <w:szCs w:val="24"/>
        </w:rPr>
        <w:t>The utilization of biological technology made from active microorganisms such as functional fungi is one of the efforts that can be made to support agriculture that is environmentally friendly and sustainable. Mitter et al. (2021), stated that biofertilizers are considered an important component in supporting sustainable agriculture, which provides long-term effects on soil fertility. Therefore, exploration of fungal consortia needs to be done to obtain functional fungal isolates that can be used as biofertilizers.</w:t>
      </w:r>
    </w:p>
    <w:p w:rsidR="000D528A" w:rsidRDefault="000D528A" w:rsidP="00A95C84">
      <w:pPr>
        <w:spacing w:after="0" w:line="480" w:lineRule="auto"/>
        <w:ind w:firstLine="567"/>
        <w:jc w:val="both"/>
        <w:rPr>
          <w:rFonts w:ascii="Times New Roman" w:hAnsi="Times New Roman" w:cs="Times New Roman"/>
          <w:sz w:val="24"/>
          <w:szCs w:val="24"/>
        </w:rPr>
      </w:pPr>
    </w:p>
    <w:p w:rsidR="00D53C6B" w:rsidRDefault="00D53C6B" w:rsidP="00D53C6B">
      <w:pPr>
        <w:spacing w:after="0" w:line="480" w:lineRule="auto"/>
        <w:jc w:val="both"/>
        <w:rPr>
          <w:rFonts w:ascii="Times New Roman" w:hAnsi="Times New Roman" w:cs="Times New Roman"/>
          <w:b/>
          <w:sz w:val="24"/>
          <w:szCs w:val="24"/>
        </w:rPr>
      </w:pPr>
      <w:r w:rsidRPr="00BE57AD">
        <w:rPr>
          <w:rFonts w:ascii="Times New Roman" w:hAnsi="Times New Roman" w:cs="Times New Roman"/>
          <w:b/>
          <w:sz w:val="24"/>
          <w:szCs w:val="24"/>
        </w:rPr>
        <w:lastRenderedPageBreak/>
        <w:t>Materials and Methods</w:t>
      </w:r>
    </w:p>
    <w:p w:rsidR="00D53C6B" w:rsidRDefault="00DD7F10" w:rsidP="00D53C6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Methods</w:t>
      </w:r>
    </w:p>
    <w:p w:rsidR="0014367D" w:rsidRDefault="00DD7F10" w:rsidP="0014367D">
      <w:pPr>
        <w:spacing w:after="0" w:line="480" w:lineRule="auto"/>
        <w:ind w:firstLine="567"/>
        <w:jc w:val="both"/>
        <w:rPr>
          <w:rFonts w:ascii="Times New Roman" w:hAnsi="Times New Roman" w:cs="Times New Roman"/>
          <w:sz w:val="24"/>
          <w:szCs w:val="24"/>
        </w:rPr>
      </w:pPr>
      <w:r w:rsidRPr="00DD7F10">
        <w:rPr>
          <w:rFonts w:ascii="Times New Roman" w:hAnsi="Times New Roman" w:cs="Times New Roman"/>
          <w:sz w:val="24"/>
          <w:szCs w:val="24"/>
        </w:rPr>
        <w:t xml:space="preserve">This research is descriptive-explorative with a survey method to obtain fungal isolates then continued with the application of fungal consortium </w:t>
      </w:r>
      <w:r w:rsidR="00AF3088">
        <w:rPr>
          <w:rFonts w:ascii="Times New Roman" w:hAnsi="Times New Roman" w:cs="Times New Roman"/>
          <w:sz w:val="24"/>
          <w:szCs w:val="24"/>
        </w:rPr>
        <w:t xml:space="preserve">as bofertilizer to promote Pakcoy plant growth, planted in pots experiment. </w:t>
      </w:r>
      <w:r w:rsidRPr="00DD7F10">
        <w:rPr>
          <w:rFonts w:ascii="Times New Roman" w:hAnsi="Times New Roman" w:cs="Times New Roman"/>
          <w:sz w:val="24"/>
          <w:szCs w:val="24"/>
        </w:rPr>
        <w:t xml:space="preserve">The survey was conducted on four land uses consisting of rice fields (LS), forest land (LH), vegetable garden land (LY), and residential land (LP) on the Western Slope of </w:t>
      </w:r>
      <w:r w:rsidR="00A36F0C">
        <w:rPr>
          <w:rFonts w:ascii="Times New Roman" w:hAnsi="Times New Roman" w:cs="Times New Roman"/>
          <w:sz w:val="24"/>
          <w:szCs w:val="24"/>
        </w:rPr>
        <w:t xml:space="preserve">Lawu </w:t>
      </w:r>
      <w:r w:rsidRPr="00DD7F10">
        <w:rPr>
          <w:rFonts w:ascii="Times New Roman" w:hAnsi="Times New Roman" w:cs="Times New Roman"/>
          <w:sz w:val="24"/>
          <w:szCs w:val="24"/>
        </w:rPr>
        <w:t>Mount</w:t>
      </w:r>
      <w:r w:rsidR="00A36F0C">
        <w:rPr>
          <w:rFonts w:ascii="Times New Roman" w:hAnsi="Times New Roman" w:cs="Times New Roman"/>
          <w:sz w:val="24"/>
          <w:szCs w:val="24"/>
        </w:rPr>
        <w:t>ain</w:t>
      </w:r>
      <w:r w:rsidRPr="00DD7F10">
        <w:rPr>
          <w:rFonts w:ascii="Times New Roman" w:hAnsi="Times New Roman" w:cs="Times New Roman"/>
          <w:sz w:val="24"/>
          <w:szCs w:val="24"/>
        </w:rPr>
        <w:t xml:space="preserve">, located in Karanganyar </w:t>
      </w:r>
      <w:r w:rsidR="00A36F0C">
        <w:rPr>
          <w:rFonts w:ascii="Times New Roman" w:hAnsi="Times New Roman" w:cs="Times New Roman"/>
          <w:sz w:val="24"/>
          <w:szCs w:val="24"/>
        </w:rPr>
        <w:t>Regency, Central Java Province</w:t>
      </w:r>
      <w:r w:rsidR="00AF3088">
        <w:rPr>
          <w:rFonts w:ascii="Times New Roman" w:hAnsi="Times New Roman" w:cs="Times New Roman"/>
          <w:sz w:val="24"/>
          <w:szCs w:val="24"/>
        </w:rPr>
        <w:t>, Indonesia</w:t>
      </w:r>
      <w:r w:rsidR="00A36F0C">
        <w:rPr>
          <w:rFonts w:ascii="Times New Roman" w:hAnsi="Times New Roman" w:cs="Times New Roman"/>
          <w:sz w:val="24"/>
          <w:szCs w:val="24"/>
        </w:rPr>
        <w:t xml:space="preserve">. </w:t>
      </w:r>
      <w:r w:rsidR="00AF3088">
        <w:rPr>
          <w:rFonts w:ascii="Times New Roman" w:hAnsi="Times New Roman" w:cs="Times New Roman"/>
          <w:sz w:val="24"/>
          <w:szCs w:val="24"/>
        </w:rPr>
        <w:t>The experimental design t</w:t>
      </w:r>
      <w:r w:rsidRPr="00DD7F10">
        <w:rPr>
          <w:rFonts w:ascii="Times New Roman" w:hAnsi="Times New Roman" w:cs="Times New Roman"/>
          <w:sz w:val="24"/>
          <w:szCs w:val="24"/>
        </w:rPr>
        <w:t xml:space="preserve">he test </w:t>
      </w:r>
      <w:r w:rsidR="00AF3088">
        <w:rPr>
          <w:rFonts w:ascii="Times New Roman" w:hAnsi="Times New Roman" w:cs="Times New Roman"/>
          <w:sz w:val="24"/>
          <w:szCs w:val="24"/>
        </w:rPr>
        <w:t>of potential t</w:t>
      </w:r>
      <w:r w:rsidRPr="00DD7F10">
        <w:rPr>
          <w:rFonts w:ascii="Times New Roman" w:hAnsi="Times New Roman" w:cs="Times New Roman"/>
          <w:sz w:val="24"/>
          <w:szCs w:val="24"/>
        </w:rPr>
        <w:t>he fungal co</w:t>
      </w:r>
      <w:r w:rsidR="00AF3088">
        <w:rPr>
          <w:rFonts w:ascii="Times New Roman" w:hAnsi="Times New Roman" w:cs="Times New Roman"/>
          <w:sz w:val="24"/>
          <w:szCs w:val="24"/>
        </w:rPr>
        <w:t xml:space="preserve">nsortium as a biofertilizer on Pakcoy plants </w:t>
      </w:r>
      <w:r w:rsidRPr="00DD7F10">
        <w:rPr>
          <w:rFonts w:ascii="Times New Roman" w:hAnsi="Times New Roman" w:cs="Times New Roman"/>
          <w:sz w:val="24"/>
          <w:szCs w:val="24"/>
        </w:rPr>
        <w:t>using a com</w:t>
      </w:r>
      <w:r w:rsidR="00AF3088">
        <w:rPr>
          <w:rFonts w:ascii="Times New Roman" w:hAnsi="Times New Roman" w:cs="Times New Roman"/>
          <w:sz w:val="24"/>
          <w:szCs w:val="24"/>
        </w:rPr>
        <w:t xml:space="preserve">pletely randomized design (CRD), </w:t>
      </w:r>
      <w:r w:rsidR="00A36F0C">
        <w:rPr>
          <w:rFonts w:ascii="Times New Roman" w:hAnsi="Times New Roman" w:cs="Times New Roman"/>
          <w:sz w:val="24"/>
          <w:szCs w:val="24"/>
        </w:rPr>
        <w:t>consisting of five treatments, including</w:t>
      </w:r>
      <w:r w:rsidRPr="00DD7F10">
        <w:rPr>
          <w:rFonts w:ascii="Times New Roman" w:hAnsi="Times New Roman" w:cs="Times New Roman"/>
          <w:sz w:val="24"/>
          <w:szCs w:val="24"/>
        </w:rPr>
        <w:t xml:space="preserve"> the application of NPK fertilizer (N), LS fungal consortium biofertilizer, LH fungal consortium biofertilizer, LY fungal consortium biofertilizer, and LP fungal consortium biofertilizer. </w:t>
      </w:r>
      <w:r w:rsidR="0014367D" w:rsidRPr="0014367D">
        <w:rPr>
          <w:rFonts w:ascii="Times New Roman" w:hAnsi="Times New Roman" w:cs="Times New Roman"/>
          <w:sz w:val="24"/>
          <w:szCs w:val="24"/>
        </w:rPr>
        <w:t>All treatments were replicated three times, so there were 15 experimental units with a spacing of 30 x 30 cm.</w:t>
      </w:r>
    </w:p>
    <w:p w:rsidR="002154A7" w:rsidRPr="002154A7" w:rsidRDefault="00B80894" w:rsidP="0014367D">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Time and Location </w:t>
      </w:r>
    </w:p>
    <w:p w:rsidR="00AE0EFD" w:rsidRDefault="009E17FA" w:rsidP="009E17FA">
      <w:pPr>
        <w:spacing w:after="0" w:line="480" w:lineRule="auto"/>
        <w:ind w:firstLine="567"/>
        <w:jc w:val="both"/>
        <w:rPr>
          <w:rFonts w:ascii="Times New Roman" w:hAnsi="Times New Roman" w:cs="Times New Roman"/>
          <w:sz w:val="24"/>
          <w:szCs w:val="24"/>
        </w:rPr>
      </w:pPr>
      <w:r w:rsidRPr="009E17FA">
        <w:rPr>
          <w:rFonts w:ascii="Times New Roman" w:hAnsi="Times New Roman" w:cs="Times New Roman"/>
          <w:sz w:val="24"/>
          <w:szCs w:val="24"/>
        </w:rPr>
        <w:t>This research was completed</w:t>
      </w:r>
      <w:r>
        <w:rPr>
          <w:rFonts w:ascii="Times New Roman" w:hAnsi="Times New Roman" w:cs="Times New Roman"/>
          <w:sz w:val="24"/>
          <w:szCs w:val="24"/>
        </w:rPr>
        <w:t xml:space="preserve"> from May 2022 to February 2023 </w:t>
      </w:r>
      <w:r w:rsidR="0038186E">
        <w:rPr>
          <w:rFonts w:ascii="Times New Roman" w:hAnsi="Times New Roman" w:cs="Times New Roman"/>
          <w:sz w:val="24"/>
          <w:szCs w:val="24"/>
        </w:rPr>
        <w:t xml:space="preserve">located </w:t>
      </w:r>
      <w:r w:rsidR="004A4B6A">
        <w:rPr>
          <w:rFonts w:ascii="Times New Roman" w:hAnsi="Times New Roman" w:cs="Times New Roman"/>
          <w:sz w:val="24"/>
          <w:szCs w:val="24"/>
        </w:rPr>
        <w:t xml:space="preserve">on the western slope of </w:t>
      </w:r>
      <w:r w:rsidR="002154A7" w:rsidRPr="002154A7">
        <w:rPr>
          <w:rFonts w:ascii="Times New Roman" w:hAnsi="Times New Roman" w:cs="Times New Roman"/>
          <w:sz w:val="24"/>
          <w:szCs w:val="24"/>
        </w:rPr>
        <w:t>Lawu</w:t>
      </w:r>
      <w:r w:rsidR="004A4B6A">
        <w:rPr>
          <w:rFonts w:ascii="Times New Roman" w:hAnsi="Times New Roman" w:cs="Times New Roman"/>
          <w:sz w:val="24"/>
          <w:szCs w:val="24"/>
        </w:rPr>
        <w:t xml:space="preserve"> Mountain</w:t>
      </w:r>
      <w:r w:rsidR="002154A7" w:rsidRPr="002154A7">
        <w:rPr>
          <w:rFonts w:ascii="Times New Roman" w:hAnsi="Times New Roman" w:cs="Times New Roman"/>
          <w:sz w:val="24"/>
          <w:szCs w:val="24"/>
        </w:rPr>
        <w:t>, Karanganyar Regency, Central Java Province</w:t>
      </w:r>
      <w:r w:rsidR="00975909">
        <w:rPr>
          <w:rFonts w:ascii="Times New Roman" w:hAnsi="Times New Roman" w:cs="Times New Roman"/>
          <w:sz w:val="24"/>
          <w:szCs w:val="24"/>
        </w:rPr>
        <w:t>, Indonesia for taking soil sample as the source of fungal isolate</w:t>
      </w:r>
      <w:r w:rsidR="002154A7" w:rsidRPr="002154A7">
        <w:rPr>
          <w:rFonts w:ascii="Times New Roman" w:hAnsi="Times New Roman" w:cs="Times New Roman"/>
          <w:sz w:val="24"/>
          <w:szCs w:val="24"/>
        </w:rPr>
        <w:t xml:space="preserve">. </w:t>
      </w:r>
      <w:r w:rsidRPr="002154A7">
        <w:rPr>
          <w:rFonts w:ascii="Times New Roman" w:hAnsi="Times New Roman" w:cs="Times New Roman"/>
          <w:sz w:val="24"/>
          <w:szCs w:val="24"/>
        </w:rPr>
        <w:t>The soil was then brought to the Soil Biology and Biotechnology Laboratory of the Faculty of Agriculture</w:t>
      </w:r>
      <w:r>
        <w:rPr>
          <w:rFonts w:ascii="Times New Roman" w:hAnsi="Times New Roman" w:cs="Times New Roman"/>
          <w:sz w:val="24"/>
          <w:szCs w:val="24"/>
        </w:rPr>
        <w:t xml:space="preserve"> </w:t>
      </w:r>
      <w:r w:rsidR="00975909">
        <w:rPr>
          <w:rFonts w:ascii="Times New Roman" w:hAnsi="Times New Roman" w:cs="Times New Roman"/>
          <w:sz w:val="24"/>
          <w:szCs w:val="24"/>
        </w:rPr>
        <w:t xml:space="preserve">Universitas Sebelas Maret for </w:t>
      </w:r>
      <w:r w:rsidR="00975909" w:rsidRPr="002154A7">
        <w:rPr>
          <w:rFonts w:ascii="Times New Roman" w:hAnsi="Times New Roman" w:cs="Times New Roman"/>
          <w:sz w:val="24"/>
          <w:szCs w:val="24"/>
        </w:rPr>
        <w:t xml:space="preserve">microbiological analysis </w:t>
      </w:r>
      <w:r w:rsidR="00975909">
        <w:rPr>
          <w:rFonts w:ascii="Times New Roman" w:hAnsi="Times New Roman" w:cs="Times New Roman"/>
          <w:sz w:val="24"/>
          <w:szCs w:val="24"/>
        </w:rPr>
        <w:t xml:space="preserve">and </w:t>
      </w:r>
      <w:r w:rsidR="00975909" w:rsidRPr="002154A7">
        <w:rPr>
          <w:rFonts w:ascii="Times New Roman" w:hAnsi="Times New Roman" w:cs="Times New Roman"/>
          <w:sz w:val="24"/>
          <w:szCs w:val="24"/>
        </w:rPr>
        <w:t xml:space="preserve">Soil Chemistry Laboratory of the Faculty of Agriculture, </w:t>
      </w:r>
      <w:r w:rsidR="00C278B2">
        <w:rPr>
          <w:rFonts w:ascii="Times New Roman" w:hAnsi="Times New Roman" w:cs="Times New Roman"/>
          <w:sz w:val="24"/>
          <w:szCs w:val="24"/>
        </w:rPr>
        <w:t xml:space="preserve">Universitas </w:t>
      </w:r>
      <w:r w:rsidR="00975909" w:rsidRPr="002154A7">
        <w:rPr>
          <w:rFonts w:ascii="Times New Roman" w:hAnsi="Times New Roman" w:cs="Times New Roman"/>
          <w:sz w:val="24"/>
          <w:szCs w:val="24"/>
        </w:rPr>
        <w:t xml:space="preserve">Sebelas Maret </w:t>
      </w:r>
      <w:r w:rsidR="00C278B2">
        <w:rPr>
          <w:rFonts w:ascii="Times New Roman" w:hAnsi="Times New Roman" w:cs="Times New Roman"/>
          <w:sz w:val="24"/>
          <w:szCs w:val="24"/>
        </w:rPr>
        <w:t xml:space="preserve">for </w:t>
      </w:r>
      <w:r w:rsidR="00975909" w:rsidRPr="002154A7">
        <w:rPr>
          <w:rFonts w:ascii="Times New Roman" w:hAnsi="Times New Roman" w:cs="Times New Roman"/>
          <w:sz w:val="24"/>
          <w:szCs w:val="24"/>
        </w:rPr>
        <w:t>soil chemical analysis.</w:t>
      </w:r>
      <w:r w:rsidR="00C278B2">
        <w:rPr>
          <w:rFonts w:ascii="Times New Roman" w:hAnsi="Times New Roman" w:cs="Times New Roman"/>
          <w:sz w:val="24"/>
          <w:szCs w:val="24"/>
        </w:rPr>
        <w:t xml:space="preserve"> </w:t>
      </w:r>
    </w:p>
    <w:p w:rsidR="0038186E" w:rsidRDefault="0038186E" w:rsidP="0038186E">
      <w:pPr>
        <w:spacing w:after="0" w:line="480" w:lineRule="auto"/>
        <w:jc w:val="both"/>
        <w:rPr>
          <w:rFonts w:ascii="Times New Roman" w:hAnsi="Times New Roman" w:cs="Times New Roman"/>
          <w:b/>
          <w:sz w:val="24"/>
          <w:szCs w:val="24"/>
        </w:rPr>
      </w:pPr>
      <w:r w:rsidRPr="0038186E">
        <w:rPr>
          <w:rFonts w:ascii="Times New Roman" w:hAnsi="Times New Roman" w:cs="Times New Roman"/>
          <w:b/>
          <w:sz w:val="24"/>
          <w:szCs w:val="24"/>
        </w:rPr>
        <w:t>Sampling</w:t>
      </w:r>
    </w:p>
    <w:p w:rsidR="0038186E" w:rsidRPr="0038186E" w:rsidRDefault="00884CF6" w:rsidP="00AE0EFD">
      <w:pPr>
        <w:spacing w:after="0" w:line="480" w:lineRule="auto"/>
        <w:ind w:firstLine="567"/>
        <w:jc w:val="both"/>
        <w:rPr>
          <w:rFonts w:ascii="Times New Roman" w:hAnsi="Times New Roman" w:cs="Times New Roman"/>
          <w:sz w:val="24"/>
          <w:szCs w:val="24"/>
        </w:rPr>
      </w:pPr>
      <w:r w:rsidRPr="00884CF6">
        <w:rPr>
          <w:rFonts w:ascii="Times New Roman" w:hAnsi="Times New Roman" w:cs="Times New Roman"/>
          <w:sz w:val="24"/>
          <w:szCs w:val="24"/>
        </w:rPr>
        <w:t>Sampling was conducted in May 2023. The sampling method used in this study is purposive ra</w:t>
      </w:r>
      <w:r>
        <w:rPr>
          <w:rFonts w:ascii="Times New Roman" w:hAnsi="Times New Roman" w:cs="Times New Roman"/>
          <w:sz w:val="24"/>
          <w:szCs w:val="24"/>
        </w:rPr>
        <w:t xml:space="preserve">ndom sampling by land use units </w:t>
      </w:r>
      <w:r w:rsidR="00AE0EFD">
        <w:rPr>
          <w:rFonts w:ascii="Times New Roman" w:hAnsi="Times New Roman" w:cs="Times New Roman"/>
          <w:sz w:val="24"/>
          <w:szCs w:val="24"/>
        </w:rPr>
        <w:t xml:space="preserve">on the western slope of Lawu Mountain, </w:t>
      </w:r>
      <w:r w:rsidR="00AE0EFD" w:rsidRPr="002154A7">
        <w:rPr>
          <w:rFonts w:ascii="Times New Roman" w:hAnsi="Times New Roman" w:cs="Times New Roman"/>
          <w:sz w:val="24"/>
          <w:szCs w:val="24"/>
        </w:rPr>
        <w:lastRenderedPageBreak/>
        <w:t>Karanganyar Regency, Central Java Province</w:t>
      </w:r>
      <w:r w:rsidR="00AE0EFD">
        <w:rPr>
          <w:rFonts w:ascii="Times New Roman" w:hAnsi="Times New Roman" w:cs="Times New Roman"/>
          <w:sz w:val="24"/>
          <w:szCs w:val="24"/>
        </w:rPr>
        <w:t>, Indonesia</w:t>
      </w:r>
      <w:r w:rsidR="003A1148">
        <w:rPr>
          <w:rFonts w:ascii="Times New Roman" w:hAnsi="Times New Roman" w:cs="Times New Roman"/>
          <w:sz w:val="24"/>
          <w:szCs w:val="24"/>
        </w:rPr>
        <w:t xml:space="preserve">. Soil sampling was carried out around the rhizosphere of plants, for each type of land use consisting of two samples taken, which are soil samples from the upper slopes and lower slopes. </w:t>
      </w:r>
    </w:p>
    <w:p w:rsidR="002154A7" w:rsidRPr="008860C4" w:rsidRDefault="001A6A75" w:rsidP="002154A7">
      <w:pPr>
        <w:spacing w:after="0" w:line="480" w:lineRule="auto"/>
        <w:jc w:val="both"/>
        <w:rPr>
          <w:rFonts w:ascii="Times New Roman" w:hAnsi="Times New Roman" w:cs="Times New Roman"/>
          <w:b/>
          <w:sz w:val="24"/>
          <w:szCs w:val="24"/>
        </w:rPr>
      </w:pPr>
      <w:r w:rsidRPr="008860C4">
        <w:rPr>
          <w:rFonts w:ascii="Times New Roman" w:hAnsi="Times New Roman" w:cs="Times New Roman"/>
          <w:b/>
          <w:sz w:val="24"/>
          <w:szCs w:val="24"/>
        </w:rPr>
        <w:t>Fungal</w:t>
      </w:r>
      <w:r w:rsidR="002154A7" w:rsidRPr="008860C4">
        <w:rPr>
          <w:rFonts w:ascii="Times New Roman" w:hAnsi="Times New Roman" w:cs="Times New Roman"/>
          <w:b/>
          <w:sz w:val="24"/>
          <w:szCs w:val="24"/>
        </w:rPr>
        <w:t xml:space="preserve"> Exploration</w:t>
      </w:r>
    </w:p>
    <w:p w:rsidR="008860C4" w:rsidRDefault="008860C4" w:rsidP="002154A7">
      <w:pPr>
        <w:spacing w:after="0" w:line="480" w:lineRule="auto"/>
        <w:ind w:firstLine="567"/>
        <w:jc w:val="both"/>
        <w:rPr>
          <w:rFonts w:ascii="Times New Roman" w:hAnsi="Times New Roman" w:cs="Times New Roman"/>
          <w:sz w:val="24"/>
          <w:szCs w:val="24"/>
        </w:rPr>
      </w:pPr>
      <w:r w:rsidRPr="008860C4">
        <w:rPr>
          <w:rFonts w:ascii="Times New Roman" w:hAnsi="Times New Roman" w:cs="Times New Roman"/>
          <w:b/>
          <w:sz w:val="24"/>
          <w:szCs w:val="24"/>
        </w:rPr>
        <w:t xml:space="preserve">Fungal Isolation: </w:t>
      </w:r>
      <w:r w:rsidRPr="008860C4">
        <w:rPr>
          <w:rFonts w:ascii="Times New Roman" w:hAnsi="Times New Roman" w:cs="Times New Roman"/>
          <w:sz w:val="24"/>
          <w:szCs w:val="24"/>
        </w:rPr>
        <w:t>Fungal isolation was carried out by growing fungi from four land uses (LS, LH, LY, and LP</w:t>
      </w:r>
      <w:r w:rsidR="008426CE">
        <w:rPr>
          <w:rFonts w:ascii="Times New Roman" w:hAnsi="Times New Roman" w:cs="Times New Roman"/>
          <w:sz w:val="24"/>
          <w:szCs w:val="24"/>
        </w:rPr>
        <w:t xml:space="preserve">) on the western slope of </w:t>
      </w:r>
      <w:r w:rsidRPr="008860C4">
        <w:rPr>
          <w:rFonts w:ascii="Times New Roman" w:hAnsi="Times New Roman" w:cs="Times New Roman"/>
          <w:sz w:val="24"/>
          <w:szCs w:val="24"/>
        </w:rPr>
        <w:t xml:space="preserve">Lawu </w:t>
      </w:r>
      <w:r w:rsidR="008426CE">
        <w:rPr>
          <w:rFonts w:ascii="Times New Roman" w:hAnsi="Times New Roman" w:cs="Times New Roman"/>
          <w:sz w:val="24"/>
          <w:szCs w:val="24"/>
        </w:rPr>
        <w:t xml:space="preserve">Mountain </w:t>
      </w:r>
      <w:r w:rsidRPr="008860C4">
        <w:rPr>
          <w:rFonts w:ascii="Times New Roman" w:hAnsi="Times New Roman" w:cs="Times New Roman"/>
          <w:sz w:val="24"/>
          <w:szCs w:val="24"/>
        </w:rPr>
        <w:t xml:space="preserve">on </w:t>
      </w:r>
      <w:r w:rsidR="008426CE">
        <w:rPr>
          <w:rFonts w:ascii="Times New Roman" w:hAnsi="Times New Roman" w:cs="Times New Roman"/>
          <w:sz w:val="24"/>
          <w:szCs w:val="24"/>
        </w:rPr>
        <w:t>PDA (Potato Dextrose Agar) medium. PDA medium</w:t>
      </w:r>
      <w:r w:rsidRPr="008860C4">
        <w:rPr>
          <w:rFonts w:ascii="Times New Roman" w:hAnsi="Times New Roman" w:cs="Times New Roman"/>
          <w:sz w:val="24"/>
          <w:szCs w:val="24"/>
        </w:rPr>
        <w:t xml:space="preserve"> was made by weighing 19.5 grams of PDA powder (potato extract, dextrose, and agar) and dissolved in 500 ml of distilled water. The homogenized PDA solution was then sterilized using an autoclave for 15 minutes at 121˚C.  The sterilized PDA media was then poured into petri dishes that had been steriliz</w:t>
      </w:r>
      <w:r w:rsidR="008426CE">
        <w:rPr>
          <w:rFonts w:ascii="Times New Roman" w:hAnsi="Times New Roman" w:cs="Times New Roman"/>
          <w:sz w:val="24"/>
          <w:szCs w:val="24"/>
        </w:rPr>
        <w:t>ed in an autoclave about 10 ml each</w:t>
      </w:r>
      <w:r w:rsidRPr="008860C4">
        <w:rPr>
          <w:rFonts w:ascii="Times New Roman" w:hAnsi="Times New Roman" w:cs="Times New Roman"/>
          <w:sz w:val="24"/>
          <w:szCs w:val="24"/>
        </w:rPr>
        <w:t xml:space="preserve"> petri dish and then the petri dish was closed and waited until it solidified. The next process is to prepare the isolate source by dissolving 5 grams of soil samples in 45 ml of physiological salt and then shaking until homogeneous and </w:t>
      </w:r>
      <w:r w:rsidR="008426CE" w:rsidRPr="008860C4">
        <w:rPr>
          <w:rFonts w:ascii="Times New Roman" w:hAnsi="Times New Roman" w:cs="Times New Roman"/>
          <w:sz w:val="24"/>
          <w:szCs w:val="24"/>
        </w:rPr>
        <w:t>settled</w:t>
      </w:r>
      <w:r w:rsidRPr="008860C4">
        <w:rPr>
          <w:rFonts w:ascii="Times New Roman" w:hAnsi="Times New Roman" w:cs="Times New Roman"/>
          <w:sz w:val="24"/>
          <w:szCs w:val="24"/>
        </w:rPr>
        <w:t xml:space="preserve">. Then the solution that has settled is taken 1 ml, put into a </w:t>
      </w:r>
      <w:r w:rsidR="00DB4E65" w:rsidRPr="00DB4E65">
        <w:rPr>
          <w:rFonts w:ascii="Times New Roman" w:hAnsi="Times New Roman" w:cs="Times New Roman"/>
          <w:sz w:val="24"/>
          <w:szCs w:val="24"/>
        </w:rPr>
        <w:t>reaction tube</w:t>
      </w:r>
      <w:r w:rsidR="00DB4E65">
        <w:rPr>
          <w:rFonts w:ascii="Times New Roman" w:hAnsi="Times New Roman" w:cs="Times New Roman"/>
          <w:sz w:val="24"/>
          <w:szCs w:val="24"/>
        </w:rPr>
        <w:t xml:space="preserve"> with</w:t>
      </w:r>
      <w:r w:rsidRPr="008860C4">
        <w:rPr>
          <w:rFonts w:ascii="Times New Roman" w:hAnsi="Times New Roman" w:cs="Times New Roman"/>
          <w:sz w:val="24"/>
          <w:szCs w:val="24"/>
        </w:rPr>
        <w:t xml:space="preserve"> 9 ml of physiological salt, and then labeled</w:t>
      </w:r>
      <w:r w:rsidR="008426CE">
        <w:rPr>
          <w:rFonts w:ascii="Times New Roman" w:hAnsi="Times New Roman" w:cs="Times New Roman"/>
          <w:sz w:val="24"/>
          <w:szCs w:val="24"/>
        </w:rPr>
        <w:t xml:space="preserve"> the test tube with the code 10</w:t>
      </w:r>
      <w:r w:rsidR="008426CE">
        <w:rPr>
          <w:rFonts w:ascii="Times New Roman" w:hAnsi="Times New Roman" w:cs="Times New Roman"/>
          <w:sz w:val="24"/>
          <w:szCs w:val="24"/>
          <w:vertAlign w:val="superscript"/>
        </w:rPr>
        <w:t>-</w:t>
      </w:r>
      <w:r w:rsidRPr="008860C4">
        <w:rPr>
          <w:rFonts w:ascii="Times New Roman" w:hAnsi="Times New Roman" w:cs="Times New Roman"/>
          <w:sz w:val="24"/>
          <w:szCs w:val="24"/>
        </w:rPr>
        <w:t>². Serial dilutions were c</w:t>
      </w:r>
      <w:r w:rsidR="008426CE">
        <w:rPr>
          <w:rFonts w:ascii="Times New Roman" w:hAnsi="Times New Roman" w:cs="Times New Roman"/>
          <w:sz w:val="24"/>
          <w:szCs w:val="24"/>
        </w:rPr>
        <w:t>arried out until obtaining a 10</w:t>
      </w:r>
      <w:r w:rsidR="008426CE">
        <w:rPr>
          <w:rFonts w:ascii="Times New Roman" w:hAnsi="Times New Roman" w:cs="Times New Roman"/>
          <w:sz w:val="24"/>
          <w:szCs w:val="24"/>
          <w:vertAlign w:val="superscript"/>
        </w:rPr>
        <w:t>-</w:t>
      </w:r>
      <w:r w:rsidRPr="008860C4">
        <w:rPr>
          <w:rFonts w:ascii="Times New Roman" w:hAnsi="Times New Roman" w:cs="Times New Roman"/>
          <w:sz w:val="24"/>
          <w:szCs w:val="24"/>
        </w:rPr>
        <w:t>⁵ dilution. The results of each</w:t>
      </w:r>
      <w:r w:rsidR="008426CE">
        <w:rPr>
          <w:rFonts w:ascii="Times New Roman" w:hAnsi="Times New Roman" w:cs="Times New Roman"/>
          <w:sz w:val="24"/>
          <w:szCs w:val="24"/>
        </w:rPr>
        <w:t xml:space="preserve"> dilution were cultured into a p</w:t>
      </w:r>
      <w:r w:rsidRPr="008860C4">
        <w:rPr>
          <w:rFonts w:ascii="Times New Roman" w:hAnsi="Times New Roman" w:cs="Times New Roman"/>
          <w:sz w:val="24"/>
          <w:szCs w:val="24"/>
        </w:rPr>
        <w:t xml:space="preserve">etri </w:t>
      </w:r>
      <w:r w:rsidR="008426CE">
        <w:rPr>
          <w:rFonts w:ascii="Times New Roman" w:hAnsi="Times New Roman" w:cs="Times New Roman"/>
          <w:sz w:val="24"/>
          <w:szCs w:val="24"/>
        </w:rPr>
        <w:t>dish containing PDA medium</w:t>
      </w:r>
      <w:r w:rsidRPr="008860C4">
        <w:rPr>
          <w:rFonts w:ascii="Times New Roman" w:hAnsi="Times New Roman" w:cs="Times New Roman"/>
          <w:sz w:val="24"/>
          <w:szCs w:val="24"/>
        </w:rPr>
        <w:t xml:space="preserve"> that had solidified and then incubated at room temperature. After that, a mixed culture will be obtained, then purification is carried out by transferring one different fungal colony to a new sterile PDA medium until a single culture is obtained.</w:t>
      </w:r>
    </w:p>
    <w:p w:rsidR="002154A7" w:rsidRPr="002154A7" w:rsidRDefault="002154A7" w:rsidP="002154A7">
      <w:pPr>
        <w:spacing w:after="0" w:line="480" w:lineRule="auto"/>
        <w:ind w:firstLine="567"/>
        <w:jc w:val="both"/>
        <w:rPr>
          <w:rFonts w:ascii="Times New Roman" w:hAnsi="Times New Roman" w:cs="Times New Roman"/>
          <w:sz w:val="24"/>
          <w:szCs w:val="24"/>
        </w:rPr>
      </w:pPr>
      <w:r w:rsidRPr="002378B5">
        <w:rPr>
          <w:rFonts w:ascii="Times New Roman" w:hAnsi="Times New Roman" w:cs="Times New Roman"/>
          <w:b/>
          <w:sz w:val="24"/>
          <w:szCs w:val="24"/>
        </w:rPr>
        <w:t>Identification of Fungal Morphology and Physiology:</w:t>
      </w:r>
      <w:r w:rsidRPr="002378B5">
        <w:rPr>
          <w:rFonts w:ascii="Times New Roman" w:hAnsi="Times New Roman" w:cs="Times New Roman"/>
          <w:sz w:val="24"/>
          <w:szCs w:val="24"/>
        </w:rPr>
        <w:t xml:space="preserve"> Morphological identification of fungi that have been successfully isolated is carried out using macroscopic and microscopic observations. Macroscopic observations are in the form of colony surface color, colony edge color, and bottom color of fungal colonies. </w:t>
      </w:r>
      <w:r w:rsidRPr="002378B5">
        <w:rPr>
          <w:rFonts w:ascii="Times New Roman" w:hAnsi="Times New Roman" w:cs="Times New Roman"/>
          <w:sz w:val="24"/>
          <w:szCs w:val="24"/>
        </w:rPr>
        <w:lastRenderedPageBreak/>
        <w:t>Microscopic observations were made using a microscope including fungal spores and hyphae</w:t>
      </w:r>
      <w:r w:rsidR="00273D8F" w:rsidRPr="002378B5">
        <w:rPr>
          <w:rFonts w:ascii="Times New Roman" w:hAnsi="Times New Roman" w:cs="Times New Roman"/>
          <w:sz w:val="24"/>
          <w:szCs w:val="24"/>
        </w:rPr>
        <w:t xml:space="preserve"> </w:t>
      </w:r>
      <w:r w:rsidR="00273D8F" w:rsidRPr="002378B5">
        <w:rPr>
          <w:rFonts w:ascii="Times New Roman" w:hAnsi="Times New Roman" w:cs="Times New Roman"/>
          <w:sz w:val="24"/>
          <w:szCs w:val="24"/>
        </w:rPr>
        <w:fldChar w:fldCharType="begin" w:fldLock="1"/>
      </w:r>
      <w:r w:rsidR="002378B5">
        <w:rPr>
          <w:rFonts w:ascii="Times New Roman" w:hAnsi="Times New Roman" w:cs="Times New Roman"/>
          <w:sz w:val="24"/>
          <w:szCs w:val="24"/>
        </w:rPr>
        <w:instrText>ADDIN CSL_CITATION {"citationItems":[{"id":"ITEM-1","itemData":{"author":[{"dropping-particle":"","family":"Putra","given":"I","non-dropping-particle":"","parse-names":false,"suffix":""},{"dropping-particle":"","family":"Sudiarta","given":"1","non-dropping-particle":"","parse-names":false,"suffix":""},{"dropping-particle":"","family":"Suniti","given":"Ni","non-dropping-particle":"","parse-names":false,"suffix":""}],"container-title":"Jurnal Agroekoteknologi Tropika Lembab","id":"ITEM-1","issue":"4","issued":{"date-parts":[["2021"]]},"page":"448-455","title":"Identifikasi Morfologi Jamur Kontaminan pada Naskah Lontar","type":"article-journal","volume":"10"},"uris":["http://www.mendeley.com/documents/?uuid=44560451-1a72-44fb-9a0a-0aa09a761e79"]}],"mendeley":{"formattedCitation":"(Putra et al., 2021)","manualFormatting":"(Putra et al. 2021)","plainTextFormattedCitation":"(Putra et al., 2021)","previouslyFormattedCitation":"(Putra et al., 2021)"},"properties":{"noteIndex":0},"schema":"https://github.com/citation-style-language/schema/raw/master/csl-citation.json"}</w:instrText>
      </w:r>
      <w:r w:rsidR="00273D8F" w:rsidRPr="002378B5">
        <w:rPr>
          <w:rFonts w:ascii="Times New Roman" w:hAnsi="Times New Roman" w:cs="Times New Roman"/>
          <w:sz w:val="24"/>
          <w:szCs w:val="24"/>
        </w:rPr>
        <w:fldChar w:fldCharType="separate"/>
      </w:r>
      <w:r w:rsidR="00AE4D64" w:rsidRPr="002378B5">
        <w:rPr>
          <w:rFonts w:ascii="Times New Roman" w:hAnsi="Times New Roman" w:cs="Times New Roman"/>
          <w:noProof/>
          <w:sz w:val="24"/>
          <w:szCs w:val="24"/>
        </w:rPr>
        <w:t xml:space="preserve">(Putra et al. </w:t>
      </w:r>
      <w:r w:rsidR="00273D8F" w:rsidRPr="002378B5">
        <w:rPr>
          <w:rFonts w:ascii="Times New Roman" w:hAnsi="Times New Roman" w:cs="Times New Roman"/>
          <w:noProof/>
          <w:sz w:val="24"/>
          <w:szCs w:val="24"/>
        </w:rPr>
        <w:t>2021)</w:t>
      </w:r>
      <w:r w:rsidR="00273D8F" w:rsidRPr="002378B5">
        <w:rPr>
          <w:rFonts w:ascii="Times New Roman" w:hAnsi="Times New Roman" w:cs="Times New Roman"/>
          <w:sz w:val="24"/>
          <w:szCs w:val="24"/>
        </w:rPr>
        <w:fldChar w:fldCharType="end"/>
      </w:r>
      <w:r w:rsidRPr="002378B5">
        <w:rPr>
          <w:rFonts w:ascii="Times New Roman" w:hAnsi="Times New Roman" w:cs="Times New Roman"/>
          <w:sz w:val="24"/>
          <w:szCs w:val="24"/>
        </w:rPr>
        <w:t>. Physiological identification is carried out by</w:t>
      </w:r>
      <w:r w:rsidR="00684676" w:rsidRPr="002378B5">
        <w:rPr>
          <w:rFonts w:ascii="Times New Roman" w:hAnsi="Times New Roman" w:cs="Times New Roman"/>
          <w:sz w:val="24"/>
          <w:szCs w:val="24"/>
        </w:rPr>
        <w:t xml:space="preserve"> growing fungi</w:t>
      </w:r>
      <w:r w:rsidRPr="002378B5">
        <w:rPr>
          <w:rFonts w:ascii="Times New Roman" w:hAnsi="Times New Roman" w:cs="Times New Roman"/>
          <w:sz w:val="24"/>
          <w:szCs w:val="24"/>
        </w:rPr>
        <w:t xml:space="preserve"> at different temperature and pH conditions</w:t>
      </w:r>
      <w:r w:rsidR="002378B5">
        <w:rPr>
          <w:rFonts w:ascii="Times New Roman" w:hAnsi="Times New Roman" w:cs="Times New Roman"/>
          <w:sz w:val="24"/>
          <w:szCs w:val="24"/>
        </w:rPr>
        <w:t xml:space="preserve"> </w:t>
      </w:r>
      <w:r w:rsidR="002378B5">
        <w:rPr>
          <w:rFonts w:ascii="Times New Roman" w:hAnsi="Times New Roman" w:cs="Times New Roman"/>
          <w:sz w:val="24"/>
          <w:szCs w:val="24"/>
        </w:rPr>
        <w:fldChar w:fldCharType="begin" w:fldLock="1"/>
      </w:r>
      <w:r w:rsidR="002378B5">
        <w:rPr>
          <w:rFonts w:ascii="Times New Roman" w:hAnsi="Times New Roman" w:cs="Times New Roman"/>
          <w:sz w:val="24"/>
          <w:szCs w:val="24"/>
        </w:rPr>
        <w:instrText>ADDIN CSL_CITATION {"citationItems":[{"id":"ITEM-1","itemData":{"DOI":"10.31938/jsn.v5i1.96","ISSN":"2086-3446","abstract":"Characteristics of Four Physiology Antagonists Isolate of Trichoderma spp. as Biological Agents         Trichoderma sp is soil saprophyte, one of many parasites that causing plants disease. The purpose of this study was to determine the temperature and pH growth of Trichoderma sp. This study was designed with the experimental method. The treatments were the temperature factor with five levels (temperature 15, 20, 25, 30, and 35 °C) and pH factor with five levels (pH 4, 5, 6, 7, and 8). All treatments were prepared according to completely randomized design factorial 5x5. Repetition was done 3 times. The results showed that Trichoderma sp. able to grow at pH 4, 5, 6, 7, and 8 and it also grow at temperatures of 15, 20, 25, 30 and 35oC.Keywords: Trichoderma sp, Four Physiology Antagonists, Biological Agents ABSTRAK          Trichoderma sp. adalah saprofit tanah, secara alami merupakan parasit yang menyerang banyak jenis penyebab penyakit tanaman. Tujuan dari penelitian ini adalah mengetahui suhu dan pH tumbuh Trichoderma sp. Penelitian ini dirancang dengan metode eksperimen. Perlakuan yang dicoba adalah faktor suhu dengan lima taraf (suhu 15, 20, 25, 30, dan 35oC) dan faktor pH dengan lima taraf (pH 4, 5, 6, 7, dan 8). Semua perlakuan disusun menurut Rancangan Acak Lengkap pola faktorial 5x5. Pengulangan dilakukan sebanyak 3 kali. Hasil penelitian menunjukan bahwa Trichoderma sp. mampu tumbuh pada pH 4, 5, 6, 7, dan 8. Trichoderma sp. Juga mampu tumbuh pada suhu 15, 20, 25, 30 dan 35oC.Kata kunci: Trichoderma sp, fisiologi empat antagonis, agensia hayati","author":[{"dropping-particle":"","family":"Sulistiyono","given":"Fitria Dewi","non-dropping-particle":"","parse-names":false,"suffix":""}],"container-title":"Jurnal Sains Natural","id":"ITEM-1","issue":"1","issued":{"date-parts":[["2017"]]},"page":"24","title":"KARAKTERISTIK FISIOLOGI EMPAT ANTAGONIS ISOLAT Trichoderma sp. SEBAGAI AGENSIA HAYATI","type":"article-journal","volume":"5"},"uris":["http://www.mendeley.com/documents/?uuid=8b858985-2148-4e4e-b7e8-ad50a14d0700"]}],"mendeley":{"formattedCitation":"(Sulistiyono, 2017)","plainTextFormattedCitation":"(Sulistiyono, 2017)","previouslyFormattedCitation":"(Sulistiyono, 2017)"},"properties":{"noteIndex":0},"schema":"https://github.com/citation-style-language/schema/raw/master/csl-citation.json"}</w:instrText>
      </w:r>
      <w:r w:rsidR="002378B5">
        <w:rPr>
          <w:rFonts w:ascii="Times New Roman" w:hAnsi="Times New Roman" w:cs="Times New Roman"/>
          <w:sz w:val="24"/>
          <w:szCs w:val="24"/>
        </w:rPr>
        <w:fldChar w:fldCharType="separate"/>
      </w:r>
      <w:r w:rsidR="002378B5" w:rsidRPr="002378B5">
        <w:rPr>
          <w:rFonts w:ascii="Times New Roman" w:hAnsi="Times New Roman" w:cs="Times New Roman"/>
          <w:noProof/>
          <w:sz w:val="24"/>
          <w:szCs w:val="24"/>
        </w:rPr>
        <w:t>(Sulistiyono, 2017)</w:t>
      </w:r>
      <w:r w:rsidR="002378B5">
        <w:rPr>
          <w:rFonts w:ascii="Times New Roman" w:hAnsi="Times New Roman" w:cs="Times New Roman"/>
          <w:sz w:val="24"/>
          <w:szCs w:val="24"/>
        </w:rPr>
        <w:fldChar w:fldCharType="end"/>
      </w:r>
      <w:r w:rsidRPr="002378B5">
        <w:rPr>
          <w:rFonts w:ascii="Times New Roman" w:hAnsi="Times New Roman" w:cs="Times New Roman"/>
          <w:sz w:val="24"/>
          <w:szCs w:val="24"/>
        </w:rPr>
        <w:t>. The temperature used in physiological identification is 4</w:t>
      </w:r>
      <w:r w:rsidRPr="002378B5">
        <w:rPr>
          <w:rFonts w:ascii="Times New Roman" w:hAnsi="Times New Roman" w:cs="Times New Roman"/>
          <w:sz w:val="24"/>
          <w:szCs w:val="24"/>
          <w:vertAlign w:val="superscript"/>
        </w:rPr>
        <w:t>0</w:t>
      </w:r>
      <w:r w:rsidRPr="002378B5">
        <w:rPr>
          <w:rFonts w:ascii="Times New Roman" w:hAnsi="Times New Roman" w:cs="Times New Roman"/>
          <w:sz w:val="24"/>
          <w:szCs w:val="24"/>
        </w:rPr>
        <w:t>C for the minimum temperature which is the temperature of the refrigerator, 28</w:t>
      </w:r>
      <w:r w:rsidRPr="002378B5">
        <w:rPr>
          <w:rFonts w:ascii="Times New Roman" w:hAnsi="Times New Roman" w:cs="Times New Roman"/>
          <w:sz w:val="24"/>
          <w:szCs w:val="24"/>
          <w:vertAlign w:val="superscript"/>
        </w:rPr>
        <w:t>0</w:t>
      </w:r>
      <w:r w:rsidRPr="002378B5">
        <w:rPr>
          <w:rFonts w:ascii="Times New Roman" w:hAnsi="Times New Roman" w:cs="Times New Roman"/>
          <w:sz w:val="24"/>
          <w:szCs w:val="24"/>
        </w:rPr>
        <w:t>C which is room temperature, and 40</w:t>
      </w:r>
      <w:r w:rsidRPr="002378B5">
        <w:rPr>
          <w:rFonts w:ascii="Times New Roman" w:hAnsi="Times New Roman" w:cs="Times New Roman"/>
          <w:sz w:val="24"/>
          <w:szCs w:val="24"/>
          <w:vertAlign w:val="superscript"/>
        </w:rPr>
        <w:t>0</w:t>
      </w:r>
      <w:r w:rsidRPr="002378B5">
        <w:rPr>
          <w:rFonts w:ascii="Times New Roman" w:hAnsi="Times New Roman" w:cs="Times New Roman"/>
          <w:sz w:val="24"/>
          <w:szCs w:val="24"/>
        </w:rPr>
        <w:t>C which is used as the optimum temperature</w:t>
      </w:r>
      <w:r w:rsidR="002378B5">
        <w:rPr>
          <w:rFonts w:ascii="Times New Roman" w:hAnsi="Times New Roman" w:cs="Times New Roman"/>
          <w:sz w:val="24"/>
          <w:szCs w:val="24"/>
        </w:rPr>
        <w:t xml:space="preserve"> </w:t>
      </w:r>
      <w:r w:rsidR="002378B5">
        <w:rPr>
          <w:rFonts w:ascii="Times New Roman" w:hAnsi="Times New Roman" w:cs="Times New Roman"/>
          <w:sz w:val="24"/>
          <w:szCs w:val="24"/>
        </w:rPr>
        <w:fldChar w:fldCharType="begin" w:fldLock="1"/>
      </w:r>
      <w:r w:rsidR="00732707">
        <w:rPr>
          <w:rFonts w:ascii="Times New Roman" w:hAnsi="Times New Roman" w:cs="Times New Roman"/>
          <w:sz w:val="24"/>
          <w:szCs w:val="24"/>
        </w:rPr>
        <w:instrText>ADDIN CSL_CITATION {"citationItems":[{"id":"ITEM-1","itemData":{"abstract":"Penelitian ini bertujuan untuk mengetahui nilai sifat fisika dan mekanika papan laminasi bambu petung berdasarkan susuanan bilah kearah tebal dan pengaruh berat labur terhadap sifat fisika dan mekanikanya. Metode yang digunakan menggunakan metode eksperimen dengan rancangan percobaan menggunakan Rancangan Acak Lengkap (RAL) non faktorial dengan dua perlakuan berat labur serta tiga kali ulangan. Berdasarkan hasil penelitian maka dapat ditarik beberapa kesimpulan mengenai sifat fisika dan mekanika papan laminasi bambu petung dengan susunan bilah ke arah tebal: sifat fisika memiliki nilai rata-rata kadar air sebesar13,128%, kerapatan sebesar 0,459 gram/cm3, pengembangan tebal sebesar 4,206%, penyusutan tebal sebesar 5,044%, MoE sebesar10001,776 kgf/cm2 dan MoR sebesar 267,401 kgf/cm2. Berat labur tidak berpengaruh terhadap sifat fisika dan mekanika papan laminasi bambu petung kecuali pada pengujian penyusutan tebal. Berdasarkan kelas kuat papan laminasi maka papan laminasi bambu petung masuk dalam kelas kuat III yang dapat dimanfaatkan sebagai bahan bangunan seperti rangka pintu, jendela, panel, perabot rumah tangga dan industri kayu.","author":[{"dropping-particle":"","family":"Putir","given":"Patricia Erosa","non-dropping-particle":"","parse-names":false,"suffix":""},{"dropping-particle":"","family":"Penyang","given":"","non-dropping-particle":"","parse-names":false,"suffix":""},{"dropping-particle":"","family":"Fetriasie","given":"","non-dropping-particle":"","parse-names":false,"suffix":""}],"container-title":"Jurnal Hutan Tropika","id":"ITEM-1","issue":"2","issued":{"date-parts":[["2021"]]},"page":"175-185","title":"Jamur Makro Basidiomycetes di Hutan Rawa Ganbut Taman Nasional Sebangau Kabupaten Katingan Kalimantan Tegah","type":"article-journal","volume":"16"},"uris":["http://www.mendeley.com/documents/?uuid=544fc0cb-c67f-4dd9-99f8-6dc40a3d9ef2"]}],"mendeley":{"formattedCitation":"(Putir et al., 2021)","manualFormatting":"(Putir et al. 2021)","plainTextFormattedCitation":"(Putir et al., 2021)","previouslyFormattedCitation":"(Putir et al., 2021)"},"properties":{"noteIndex":0},"schema":"https://github.com/citation-style-language/schema/raw/master/csl-citation.json"}</w:instrText>
      </w:r>
      <w:r w:rsidR="002378B5">
        <w:rPr>
          <w:rFonts w:ascii="Times New Roman" w:hAnsi="Times New Roman" w:cs="Times New Roman"/>
          <w:sz w:val="24"/>
          <w:szCs w:val="24"/>
        </w:rPr>
        <w:fldChar w:fldCharType="separate"/>
      </w:r>
      <w:r w:rsidR="002378B5">
        <w:rPr>
          <w:rFonts w:ascii="Times New Roman" w:hAnsi="Times New Roman" w:cs="Times New Roman"/>
          <w:noProof/>
          <w:sz w:val="24"/>
          <w:szCs w:val="24"/>
        </w:rPr>
        <w:t xml:space="preserve">(Putir et al. </w:t>
      </w:r>
      <w:r w:rsidR="002378B5" w:rsidRPr="002378B5">
        <w:rPr>
          <w:rFonts w:ascii="Times New Roman" w:hAnsi="Times New Roman" w:cs="Times New Roman"/>
          <w:noProof/>
          <w:sz w:val="24"/>
          <w:szCs w:val="24"/>
        </w:rPr>
        <w:t>2021)</w:t>
      </w:r>
      <w:r w:rsidR="002378B5">
        <w:rPr>
          <w:rFonts w:ascii="Times New Roman" w:hAnsi="Times New Roman" w:cs="Times New Roman"/>
          <w:sz w:val="24"/>
          <w:szCs w:val="24"/>
        </w:rPr>
        <w:fldChar w:fldCharType="end"/>
      </w:r>
      <w:r w:rsidRPr="002378B5">
        <w:rPr>
          <w:rFonts w:ascii="Times New Roman" w:hAnsi="Times New Roman" w:cs="Times New Roman"/>
          <w:sz w:val="24"/>
          <w:szCs w:val="24"/>
        </w:rPr>
        <w:t>, while the pH used is pH 4 for the minimum pH, 7 for neutral pH, and 9 for alkaline pH.</w:t>
      </w:r>
    </w:p>
    <w:p w:rsidR="00D53C6B" w:rsidRDefault="002154A7" w:rsidP="002154A7">
      <w:pPr>
        <w:spacing w:after="0" w:line="480" w:lineRule="auto"/>
        <w:ind w:firstLine="567"/>
        <w:jc w:val="both"/>
        <w:rPr>
          <w:rFonts w:ascii="Times New Roman" w:hAnsi="Times New Roman" w:cs="Times New Roman"/>
          <w:sz w:val="24"/>
          <w:szCs w:val="24"/>
        </w:rPr>
      </w:pPr>
      <w:r w:rsidRPr="002154A7">
        <w:rPr>
          <w:rFonts w:ascii="Times New Roman" w:hAnsi="Times New Roman" w:cs="Times New Roman"/>
          <w:b/>
          <w:sz w:val="24"/>
          <w:szCs w:val="24"/>
        </w:rPr>
        <w:t>Molecular Identification:</w:t>
      </w:r>
      <w:r w:rsidRPr="002154A7">
        <w:rPr>
          <w:rFonts w:ascii="Times New Roman" w:hAnsi="Times New Roman" w:cs="Times New Roman"/>
          <w:sz w:val="24"/>
          <w:szCs w:val="24"/>
        </w:rPr>
        <w:t xml:space="preserve"> Molecular identification was carried out at PT Genetika Science using the PCR (polymerase chain reaction) method using universal primers ITS1-ITS4. Molecular identification begins with the DNA extraction process, the results of DNA extraction are then amplified. The amplification results will obtain gene sequences which will later be used as sequencing material to identify the type of fungus by matching </w:t>
      </w:r>
      <w:r w:rsidR="00543DD9">
        <w:rPr>
          <w:rFonts w:ascii="Times New Roman" w:hAnsi="Times New Roman" w:cs="Times New Roman"/>
          <w:sz w:val="24"/>
          <w:szCs w:val="24"/>
        </w:rPr>
        <w:t>the sequencing results with Gen B</w:t>
      </w:r>
      <w:r w:rsidR="00A973EC">
        <w:rPr>
          <w:rFonts w:ascii="Times New Roman" w:hAnsi="Times New Roman" w:cs="Times New Roman"/>
          <w:sz w:val="24"/>
          <w:szCs w:val="24"/>
        </w:rPr>
        <w:t>ank</w:t>
      </w:r>
      <w:r w:rsidRPr="002154A7">
        <w:rPr>
          <w:rFonts w:ascii="Times New Roman" w:hAnsi="Times New Roman" w:cs="Times New Roman"/>
          <w:sz w:val="24"/>
          <w:szCs w:val="24"/>
        </w:rPr>
        <w:t>.</w:t>
      </w:r>
    </w:p>
    <w:p w:rsidR="002154A7" w:rsidRPr="002154A7" w:rsidRDefault="002154A7" w:rsidP="002154A7">
      <w:pPr>
        <w:spacing w:after="0" w:line="480" w:lineRule="auto"/>
        <w:jc w:val="both"/>
        <w:rPr>
          <w:rFonts w:ascii="Times New Roman" w:hAnsi="Times New Roman" w:cs="Times New Roman"/>
          <w:b/>
          <w:sz w:val="24"/>
          <w:szCs w:val="24"/>
        </w:rPr>
      </w:pPr>
      <w:r w:rsidRPr="002154A7">
        <w:rPr>
          <w:rFonts w:ascii="Times New Roman" w:hAnsi="Times New Roman" w:cs="Times New Roman"/>
          <w:b/>
          <w:sz w:val="24"/>
          <w:szCs w:val="24"/>
        </w:rPr>
        <w:t>Testing the Potential of Fungal Consortium as Biofertilizer</w:t>
      </w:r>
    </w:p>
    <w:p w:rsidR="002154A7" w:rsidRPr="002154A7" w:rsidRDefault="002154A7" w:rsidP="002154A7">
      <w:pPr>
        <w:spacing w:after="0" w:line="480" w:lineRule="auto"/>
        <w:ind w:firstLine="567"/>
        <w:jc w:val="both"/>
        <w:rPr>
          <w:rFonts w:ascii="Times New Roman" w:hAnsi="Times New Roman" w:cs="Times New Roman"/>
          <w:sz w:val="24"/>
          <w:szCs w:val="24"/>
        </w:rPr>
      </w:pPr>
      <w:r w:rsidRPr="002154A7">
        <w:rPr>
          <w:rFonts w:ascii="Times New Roman" w:hAnsi="Times New Roman" w:cs="Times New Roman"/>
          <w:b/>
          <w:sz w:val="24"/>
          <w:szCs w:val="24"/>
        </w:rPr>
        <w:t>Preparation of Liquid Inoculum</w:t>
      </w:r>
      <w:r w:rsidR="00543DD9">
        <w:rPr>
          <w:rFonts w:ascii="Times New Roman" w:hAnsi="Times New Roman" w:cs="Times New Roman"/>
          <w:b/>
          <w:sz w:val="24"/>
          <w:szCs w:val="24"/>
        </w:rPr>
        <w:t xml:space="preserve"> as Biofertilizer</w:t>
      </w:r>
      <w:r w:rsidRPr="002154A7">
        <w:rPr>
          <w:rFonts w:ascii="Times New Roman" w:hAnsi="Times New Roman" w:cs="Times New Roman"/>
          <w:b/>
          <w:sz w:val="24"/>
          <w:szCs w:val="24"/>
        </w:rPr>
        <w:t>:</w:t>
      </w:r>
      <w:r w:rsidRPr="002154A7">
        <w:rPr>
          <w:rFonts w:ascii="Times New Roman" w:hAnsi="Times New Roman" w:cs="Times New Roman"/>
          <w:sz w:val="24"/>
          <w:szCs w:val="24"/>
        </w:rPr>
        <w:t xml:space="preserve"> Liquid inoculum was prepared by growing each fungal isolate from th</w:t>
      </w:r>
      <w:r w:rsidR="00543DD9">
        <w:rPr>
          <w:rFonts w:ascii="Times New Roman" w:hAnsi="Times New Roman" w:cs="Times New Roman"/>
          <w:sz w:val="24"/>
          <w:szCs w:val="24"/>
        </w:rPr>
        <w:t>e four land uses on 100 ml</w:t>
      </w:r>
      <w:r w:rsidR="00740F3D">
        <w:rPr>
          <w:rFonts w:ascii="Times New Roman" w:hAnsi="Times New Roman" w:cs="Times New Roman"/>
          <w:sz w:val="24"/>
          <w:szCs w:val="24"/>
        </w:rPr>
        <w:t xml:space="preserve"> PDB </w:t>
      </w:r>
      <w:r w:rsidRPr="002154A7">
        <w:rPr>
          <w:rFonts w:ascii="Times New Roman" w:hAnsi="Times New Roman" w:cs="Times New Roman"/>
          <w:sz w:val="24"/>
          <w:szCs w:val="24"/>
        </w:rPr>
        <w:t xml:space="preserve">liquid medium for each land use. PDB media was made by boiling 250 grams of potatoes in 750 ml of distilled water to extract. The extract obtained was then put into an Erlenmeyer and dextrose was added as much as 1 gram / 100 ml of potato extract, then sterilized using an autoclave for 15 minutes at 121˚C. The next step is to put fungal isolates from each land use into PDB media and then shaker </w:t>
      </w:r>
      <w:r w:rsidR="00A973EC">
        <w:rPr>
          <w:rFonts w:ascii="Times New Roman" w:hAnsi="Times New Roman" w:cs="Times New Roman"/>
          <w:sz w:val="24"/>
          <w:szCs w:val="24"/>
        </w:rPr>
        <w:t xml:space="preserve">at 70 rpm </w:t>
      </w:r>
      <w:r w:rsidRPr="002154A7">
        <w:rPr>
          <w:rFonts w:ascii="Times New Roman" w:hAnsi="Times New Roman" w:cs="Times New Roman"/>
          <w:sz w:val="24"/>
          <w:szCs w:val="24"/>
        </w:rPr>
        <w:t>for 2 x 24 hours. After that, the spore density was calculated using a hemocytometer to determine the dose to be given to plants.</w:t>
      </w:r>
    </w:p>
    <w:p w:rsidR="002154A7" w:rsidRPr="002154A7" w:rsidRDefault="002154A7" w:rsidP="002154A7">
      <w:pPr>
        <w:spacing w:after="0" w:line="480" w:lineRule="auto"/>
        <w:ind w:firstLine="567"/>
        <w:jc w:val="both"/>
        <w:rPr>
          <w:rFonts w:ascii="Times New Roman" w:hAnsi="Times New Roman" w:cs="Times New Roman"/>
          <w:sz w:val="24"/>
          <w:szCs w:val="24"/>
        </w:rPr>
      </w:pPr>
      <w:r w:rsidRPr="002154A7">
        <w:rPr>
          <w:rFonts w:ascii="Times New Roman" w:hAnsi="Times New Roman" w:cs="Times New Roman"/>
          <w:b/>
          <w:sz w:val="24"/>
          <w:szCs w:val="24"/>
        </w:rPr>
        <w:lastRenderedPageBreak/>
        <w:t>Planting:</w:t>
      </w:r>
      <w:r w:rsidRPr="002154A7">
        <w:rPr>
          <w:rFonts w:ascii="Times New Roman" w:hAnsi="Times New Roman" w:cs="Times New Roman"/>
          <w:sz w:val="24"/>
          <w:szCs w:val="24"/>
        </w:rPr>
        <w:t xml:space="preserve"> Starting with the preparation of planting media by drying the soil taken from the Colomadu sub-district area which is Regosol soil, then sieved using a 2 mm sieve. </w:t>
      </w:r>
      <w:r w:rsidR="00DB4E65" w:rsidRPr="00DB4E65">
        <w:rPr>
          <w:rFonts w:ascii="Times New Roman" w:hAnsi="Times New Roman" w:cs="Times New Roman"/>
          <w:sz w:val="24"/>
          <w:szCs w:val="24"/>
        </w:rPr>
        <w:t xml:space="preserve">The results of the sieve were weighed as the amount of 3 kg for each pot. Soil that has been sieved is sterilized first by steaming </w:t>
      </w:r>
      <w:r w:rsidRPr="002154A7">
        <w:rPr>
          <w:rFonts w:ascii="Times New Roman" w:hAnsi="Times New Roman" w:cs="Times New Roman"/>
          <w:sz w:val="24"/>
          <w:szCs w:val="24"/>
        </w:rPr>
        <w:t>(steam sterilization) for 3 hours</w:t>
      </w:r>
      <w:r w:rsidR="004509C4">
        <w:rPr>
          <w:rFonts w:ascii="Times New Roman" w:hAnsi="Times New Roman" w:cs="Times New Roman"/>
          <w:sz w:val="24"/>
          <w:szCs w:val="24"/>
        </w:rPr>
        <w:t>/day</w:t>
      </w:r>
      <w:r w:rsidRPr="002154A7">
        <w:rPr>
          <w:rFonts w:ascii="Times New Roman" w:hAnsi="Times New Roman" w:cs="Times New Roman"/>
          <w:sz w:val="24"/>
          <w:szCs w:val="24"/>
        </w:rPr>
        <w:t xml:space="preserve"> within three consecutive days. </w:t>
      </w:r>
    </w:p>
    <w:p w:rsidR="002154A7" w:rsidRPr="002154A7" w:rsidRDefault="002154A7" w:rsidP="002154A7">
      <w:pPr>
        <w:spacing w:after="0" w:line="480" w:lineRule="auto"/>
        <w:ind w:firstLine="567"/>
        <w:jc w:val="both"/>
        <w:rPr>
          <w:rFonts w:ascii="Times New Roman" w:hAnsi="Times New Roman" w:cs="Times New Roman"/>
          <w:sz w:val="24"/>
          <w:szCs w:val="24"/>
        </w:rPr>
      </w:pPr>
      <w:r w:rsidRPr="002154A7">
        <w:rPr>
          <w:rFonts w:ascii="Times New Roman" w:hAnsi="Times New Roman" w:cs="Times New Roman"/>
          <w:sz w:val="24"/>
          <w:szCs w:val="24"/>
        </w:rPr>
        <w:t>Next, the process of sowing pakcoy seeds as a test plant to determine the ability of the fungal consortium as a bi</w:t>
      </w:r>
      <w:r w:rsidR="004509C4">
        <w:rPr>
          <w:rFonts w:ascii="Times New Roman" w:hAnsi="Times New Roman" w:cs="Times New Roman"/>
          <w:sz w:val="24"/>
          <w:szCs w:val="24"/>
        </w:rPr>
        <w:t xml:space="preserve">ofertilizer. After 7 days, the seeds </w:t>
      </w:r>
      <w:r w:rsidRPr="002154A7">
        <w:rPr>
          <w:rFonts w:ascii="Times New Roman" w:hAnsi="Times New Roman" w:cs="Times New Roman"/>
          <w:sz w:val="24"/>
          <w:szCs w:val="24"/>
        </w:rPr>
        <w:t xml:space="preserve">were transferred into pots containing sterile soil. The pots were placed according to the experimental plan with a spacing of 30 x 30 cm. </w:t>
      </w:r>
    </w:p>
    <w:p w:rsidR="002154A7" w:rsidRPr="002154A7" w:rsidRDefault="002154A7" w:rsidP="00B14D39">
      <w:pPr>
        <w:spacing w:after="0" w:line="480" w:lineRule="auto"/>
        <w:ind w:firstLine="567"/>
        <w:jc w:val="both"/>
        <w:rPr>
          <w:rFonts w:ascii="Times New Roman" w:hAnsi="Times New Roman" w:cs="Times New Roman"/>
          <w:sz w:val="24"/>
          <w:szCs w:val="24"/>
        </w:rPr>
      </w:pPr>
      <w:r w:rsidRPr="002154A7">
        <w:rPr>
          <w:rFonts w:ascii="Times New Roman" w:hAnsi="Times New Roman" w:cs="Times New Roman"/>
          <w:sz w:val="24"/>
          <w:szCs w:val="24"/>
        </w:rPr>
        <w:t xml:space="preserve">The application of fungal consortium as biofertilizer and NPK fertilizer was done 1 week after planting. The dose of fungal </w:t>
      </w:r>
      <w:r w:rsidR="00B14D39">
        <w:rPr>
          <w:rFonts w:ascii="Times New Roman" w:hAnsi="Times New Roman" w:cs="Times New Roman"/>
          <w:sz w:val="24"/>
          <w:szCs w:val="24"/>
        </w:rPr>
        <w:t>spores given to the pots was 10</w:t>
      </w:r>
      <w:r w:rsidR="00B14D39">
        <w:rPr>
          <w:rFonts w:ascii="Times New Roman" w:hAnsi="Times New Roman" w:cs="Times New Roman"/>
          <w:sz w:val="24"/>
          <w:szCs w:val="24"/>
          <w:vertAlign w:val="superscript"/>
        </w:rPr>
        <w:t>5</w:t>
      </w:r>
      <w:r w:rsidRPr="002154A7">
        <w:rPr>
          <w:rFonts w:ascii="Times New Roman" w:hAnsi="Times New Roman" w:cs="Times New Roman"/>
          <w:sz w:val="24"/>
          <w:szCs w:val="24"/>
        </w:rPr>
        <w:t xml:space="preserve"> spores/g soil. The application of liquid inoculum of the fungal consortium was given as much as 30</w:t>
      </w:r>
      <w:r w:rsidR="009414CE">
        <w:rPr>
          <w:rFonts w:ascii="Times New Roman" w:hAnsi="Times New Roman" w:cs="Times New Roman"/>
          <w:sz w:val="24"/>
          <w:szCs w:val="24"/>
        </w:rPr>
        <w:t xml:space="preserve"> ml with a spore density of 10</w:t>
      </w:r>
      <w:r w:rsidR="009414CE">
        <w:rPr>
          <w:rFonts w:ascii="Times New Roman" w:hAnsi="Times New Roman" w:cs="Times New Roman"/>
          <w:sz w:val="24"/>
          <w:szCs w:val="24"/>
          <w:vertAlign w:val="superscript"/>
        </w:rPr>
        <w:t>7</w:t>
      </w:r>
      <w:r w:rsidR="009414CE">
        <w:rPr>
          <w:rFonts w:ascii="Times New Roman" w:hAnsi="Times New Roman" w:cs="Times New Roman"/>
          <w:sz w:val="24"/>
          <w:szCs w:val="24"/>
        </w:rPr>
        <w:t xml:space="preserve"> </w:t>
      </w:r>
      <w:r w:rsidRPr="002154A7">
        <w:rPr>
          <w:rFonts w:ascii="Times New Roman" w:hAnsi="Times New Roman" w:cs="Times New Roman"/>
          <w:sz w:val="24"/>
          <w:szCs w:val="24"/>
        </w:rPr>
        <w:t xml:space="preserve">spores/ml. </w:t>
      </w:r>
      <w:r w:rsidRPr="00732707">
        <w:rPr>
          <w:rFonts w:ascii="Times New Roman" w:hAnsi="Times New Roman" w:cs="Times New Roman"/>
          <w:sz w:val="24"/>
          <w:szCs w:val="24"/>
        </w:rPr>
        <w:t>The application of compound NPK fertilizer given as a control was at the recommended dose of 300kg/ha so the d</w:t>
      </w:r>
      <w:r w:rsidR="00732707">
        <w:rPr>
          <w:rFonts w:ascii="Times New Roman" w:hAnsi="Times New Roman" w:cs="Times New Roman"/>
          <w:sz w:val="24"/>
          <w:szCs w:val="24"/>
        </w:rPr>
        <w:t>ose for each pot was 0.45 grams.</w:t>
      </w:r>
    </w:p>
    <w:p w:rsidR="002154A7" w:rsidRPr="00F2372D" w:rsidRDefault="002154A7" w:rsidP="002154A7">
      <w:pPr>
        <w:spacing w:after="0" w:line="480" w:lineRule="auto"/>
        <w:ind w:firstLine="567"/>
        <w:jc w:val="both"/>
        <w:rPr>
          <w:rFonts w:ascii="Times New Roman" w:hAnsi="Times New Roman" w:cs="Times New Roman"/>
          <w:sz w:val="24"/>
          <w:szCs w:val="24"/>
        </w:rPr>
      </w:pPr>
      <w:r w:rsidRPr="00F2372D">
        <w:rPr>
          <w:rFonts w:ascii="Times New Roman" w:hAnsi="Times New Roman" w:cs="Times New Roman"/>
          <w:sz w:val="24"/>
          <w:szCs w:val="24"/>
        </w:rPr>
        <w:t>Maintenanc</w:t>
      </w:r>
      <w:r w:rsidR="00EC4F39" w:rsidRPr="00F2372D">
        <w:rPr>
          <w:rFonts w:ascii="Times New Roman" w:hAnsi="Times New Roman" w:cs="Times New Roman"/>
          <w:sz w:val="24"/>
          <w:szCs w:val="24"/>
        </w:rPr>
        <w:t>e activities carried out including</w:t>
      </w:r>
      <w:r w:rsidRPr="00F2372D">
        <w:rPr>
          <w:rFonts w:ascii="Times New Roman" w:hAnsi="Times New Roman" w:cs="Times New Roman"/>
          <w:sz w:val="24"/>
          <w:szCs w:val="24"/>
        </w:rPr>
        <w:t xml:space="preserve"> watering</w:t>
      </w:r>
      <w:r w:rsidR="00F2372D">
        <w:rPr>
          <w:rFonts w:ascii="Times New Roman" w:hAnsi="Times New Roman" w:cs="Times New Roman"/>
          <w:sz w:val="24"/>
          <w:szCs w:val="24"/>
        </w:rPr>
        <w:t xml:space="preserve"> everyday </w:t>
      </w:r>
      <w:r w:rsidR="00F2372D" w:rsidRPr="00F2372D">
        <w:rPr>
          <w:rFonts w:ascii="Times New Roman" w:hAnsi="Times New Roman" w:cs="Times New Roman"/>
          <w:sz w:val="24"/>
          <w:szCs w:val="24"/>
        </w:rPr>
        <w:t>which is carried out twice a</w:t>
      </w:r>
      <w:r w:rsidR="00F2372D">
        <w:rPr>
          <w:rFonts w:ascii="Times New Roman" w:hAnsi="Times New Roman" w:cs="Times New Roman"/>
          <w:sz w:val="24"/>
          <w:szCs w:val="24"/>
        </w:rPr>
        <w:t xml:space="preserve"> day in the morning and evening, </w:t>
      </w:r>
      <w:r w:rsidRPr="00F2372D">
        <w:rPr>
          <w:rFonts w:ascii="Times New Roman" w:hAnsi="Times New Roman" w:cs="Times New Roman"/>
          <w:sz w:val="24"/>
          <w:szCs w:val="24"/>
        </w:rPr>
        <w:t xml:space="preserve">weeding and controlling pests or diseases. Plant parameters were observed once a week </w:t>
      </w:r>
      <w:r w:rsidR="00F2372D">
        <w:rPr>
          <w:rFonts w:ascii="Times New Roman" w:hAnsi="Times New Roman" w:cs="Times New Roman"/>
          <w:sz w:val="24"/>
          <w:szCs w:val="24"/>
        </w:rPr>
        <w:t xml:space="preserve">were </w:t>
      </w:r>
      <w:r w:rsidRPr="00F2372D">
        <w:rPr>
          <w:rFonts w:ascii="Times New Roman" w:hAnsi="Times New Roman" w:cs="Times New Roman"/>
          <w:sz w:val="24"/>
          <w:szCs w:val="24"/>
        </w:rPr>
        <w:t xml:space="preserve">of plant height and number of leaves. Harvesting was done </w:t>
      </w:r>
      <w:r w:rsidR="00F2372D">
        <w:rPr>
          <w:rFonts w:ascii="Times New Roman" w:hAnsi="Times New Roman" w:cs="Times New Roman"/>
          <w:sz w:val="24"/>
          <w:szCs w:val="24"/>
        </w:rPr>
        <w:t>35 days after planting</w:t>
      </w:r>
      <w:r w:rsidRPr="00F2372D">
        <w:rPr>
          <w:rFonts w:ascii="Times New Roman" w:hAnsi="Times New Roman" w:cs="Times New Roman"/>
          <w:sz w:val="24"/>
          <w:szCs w:val="24"/>
        </w:rPr>
        <w:t xml:space="preserve">. </w:t>
      </w:r>
    </w:p>
    <w:p w:rsidR="00E51F3B" w:rsidRPr="002154A7" w:rsidRDefault="002154A7" w:rsidP="006A1A3B">
      <w:pPr>
        <w:spacing w:after="0" w:line="480" w:lineRule="auto"/>
        <w:ind w:firstLine="567"/>
        <w:jc w:val="both"/>
        <w:rPr>
          <w:rFonts w:ascii="Times New Roman" w:hAnsi="Times New Roman" w:cs="Times New Roman"/>
          <w:sz w:val="24"/>
          <w:szCs w:val="24"/>
        </w:rPr>
      </w:pPr>
      <w:r w:rsidRPr="00F2372D">
        <w:rPr>
          <w:rFonts w:ascii="Times New Roman" w:hAnsi="Times New Roman" w:cs="Times New Roman"/>
          <w:sz w:val="24"/>
          <w:szCs w:val="24"/>
        </w:rPr>
        <w:t>Harvesting was done by pulling the p</w:t>
      </w:r>
      <w:r w:rsidR="00B14D39">
        <w:rPr>
          <w:rFonts w:ascii="Times New Roman" w:hAnsi="Times New Roman" w:cs="Times New Roman"/>
          <w:sz w:val="24"/>
          <w:szCs w:val="24"/>
        </w:rPr>
        <w:t>lants from the pots and weigh the plant</w:t>
      </w:r>
      <w:r w:rsidR="0075710F">
        <w:rPr>
          <w:rFonts w:ascii="Times New Roman" w:hAnsi="Times New Roman" w:cs="Times New Roman"/>
          <w:sz w:val="24"/>
          <w:szCs w:val="24"/>
        </w:rPr>
        <w:t>s</w:t>
      </w:r>
      <w:r w:rsidR="00B14D39">
        <w:rPr>
          <w:rFonts w:ascii="Times New Roman" w:hAnsi="Times New Roman" w:cs="Times New Roman"/>
          <w:sz w:val="24"/>
          <w:szCs w:val="24"/>
        </w:rPr>
        <w:t xml:space="preserve"> to getting the fresh weight data, then the plants were dried using</w:t>
      </w:r>
      <w:r w:rsidRPr="00F2372D">
        <w:rPr>
          <w:rFonts w:ascii="Times New Roman" w:hAnsi="Times New Roman" w:cs="Times New Roman"/>
          <w:sz w:val="24"/>
          <w:szCs w:val="24"/>
        </w:rPr>
        <w:t xml:space="preserve"> </w:t>
      </w:r>
      <w:r w:rsidR="0075710F">
        <w:rPr>
          <w:rFonts w:ascii="Times New Roman" w:hAnsi="Times New Roman" w:cs="Times New Roman"/>
          <w:sz w:val="24"/>
          <w:szCs w:val="24"/>
        </w:rPr>
        <w:t xml:space="preserve">an </w:t>
      </w:r>
      <w:r w:rsidRPr="00F2372D">
        <w:rPr>
          <w:rFonts w:ascii="Times New Roman" w:hAnsi="Times New Roman" w:cs="Times New Roman"/>
          <w:sz w:val="24"/>
          <w:szCs w:val="24"/>
        </w:rPr>
        <w:t>oven for 24 hours</w:t>
      </w:r>
      <w:r w:rsidR="00B14D39">
        <w:rPr>
          <w:rFonts w:ascii="Times New Roman" w:hAnsi="Times New Roman" w:cs="Times New Roman"/>
          <w:sz w:val="24"/>
          <w:szCs w:val="24"/>
        </w:rPr>
        <w:t xml:space="preserve"> until reach the constant weight</w:t>
      </w:r>
      <w:r w:rsidRPr="00F2372D">
        <w:rPr>
          <w:rFonts w:ascii="Times New Roman" w:hAnsi="Times New Roman" w:cs="Times New Roman"/>
          <w:sz w:val="24"/>
          <w:szCs w:val="24"/>
        </w:rPr>
        <w:t xml:space="preserve"> </w:t>
      </w:r>
      <w:r w:rsidR="00B14D39">
        <w:rPr>
          <w:rFonts w:ascii="Times New Roman" w:hAnsi="Times New Roman" w:cs="Times New Roman"/>
          <w:sz w:val="24"/>
          <w:szCs w:val="24"/>
        </w:rPr>
        <w:t>to getting dry weight data</w:t>
      </w:r>
      <w:r w:rsidRPr="00F2372D">
        <w:rPr>
          <w:rFonts w:ascii="Times New Roman" w:hAnsi="Times New Roman" w:cs="Times New Roman"/>
          <w:sz w:val="24"/>
          <w:szCs w:val="24"/>
        </w:rPr>
        <w:t>. Soil</w:t>
      </w:r>
      <w:r w:rsidR="0075710F">
        <w:rPr>
          <w:rFonts w:ascii="Times New Roman" w:hAnsi="Times New Roman" w:cs="Times New Roman"/>
          <w:sz w:val="24"/>
          <w:szCs w:val="24"/>
        </w:rPr>
        <w:t xml:space="preserve"> used as planting media analy</w:t>
      </w:r>
      <w:r w:rsidR="00B14D39">
        <w:rPr>
          <w:rFonts w:ascii="Times New Roman" w:hAnsi="Times New Roman" w:cs="Times New Roman"/>
          <w:sz w:val="24"/>
          <w:szCs w:val="24"/>
        </w:rPr>
        <w:t>zed its chemical characteristic</w:t>
      </w:r>
      <w:r w:rsidR="0075710F">
        <w:rPr>
          <w:rFonts w:ascii="Times New Roman" w:hAnsi="Times New Roman" w:cs="Times New Roman"/>
          <w:sz w:val="24"/>
          <w:szCs w:val="24"/>
        </w:rPr>
        <w:t>s</w:t>
      </w:r>
      <w:r w:rsidR="00B14D39">
        <w:rPr>
          <w:rFonts w:ascii="Times New Roman" w:hAnsi="Times New Roman" w:cs="Times New Roman"/>
          <w:sz w:val="24"/>
          <w:szCs w:val="24"/>
        </w:rPr>
        <w:t xml:space="preserve"> before planting and after harvesting. </w:t>
      </w:r>
      <w:r w:rsidRPr="00F2372D">
        <w:rPr>
          <w:rFonts w:ascii="Times New Roman" w:hAnsi="Times New Roman" w:cs="Times New Roman"/>
          <w:sz w:val="24"/>
          <w:szCs w:val="24"/>
        </w:rPr>
        <w:t xml:space="preserve">The </w:t>
      </w:r>
      <w:r w:rsidRPr="00F2372D">
        <w:rPr>
          <w:rFonts w:ascii="Times New Roman" w:hAnsi="Times New Roman" w:cs="Times New Roman"/>
          <w:sz w:val="24"/>
          <w:szCs w:val="24"/>
        </w:rPr>
        <w:lastRenderedPageBreak/>
        <w:t>observation parameters were soil pH, soil C-Organic, soil N-Total, soil P-Available, and soil K-Available.</w:t>
      </w:r>
      <w:r w:rsidRPr="002154A7">
        <w:rPr>
          <w:rFonts w:ascii="Times New Roman" w:hAnsi="Times New Roman" w:cs="Times New Roman"/>
          <w:sz w:val="24"/>
          <w:szCs w:val="24"/>
        </w:rPr>
        <w:t xml:space="preserve"> </w:t>
      </w:r>
    </w:p>
    <w:p w:rsidR="002154A7" w:rsidRPr="002154A7" w:rsidRDefault="002154A7" w:rsidP="002154A7">
      <w:pPr>
        <w:spacing w:after="0" w:line="480" w:lineRule="auto"/>
        <w:jc w:val="both"/>
        <w:rPr>
          <w:rFonts w:ascii="Times New Roman" w:hAnsi="Times New Roman" w:cs="Times New Roman"/>
          <w:b/>
          <w:sz w:val="24"/>
          <w:szCs w:val="24"/>
        </w:rPr>
      </w:pPr>
      <w:r w:rsidRPr="002154A7">
        <w:rPr>
          <w:rFonts w:ascii="Times New Roman" w:hAnsi="Times New Roman" w:cs="Times New Roman"/>
          <w:b/>
          <w:sz w:val="24"/>
          <w:szCs w:val="24"/>
        </w:rPr>
        <w:t xml:space="preserve">Data Analysis </w:t>
      </w:r>
    </w:p>
    <w:p w:rsidR="00EC4F39" w:rsidRDefault="002154A7" w:rsidP="009414CE">
      <w:pPr>
        <w:spacing w:after="0" w:line="480" w:lineRule="auto"/>
        <w:jc w:val="both"/>
        <w:rPr>
          <w:rFonts w:ascii="Times New Roman" w:hAnsi="Times New Roman" w:cs="Times New Roman"/>
          <w:sz w:val="24"/>
          <w:szCs w:val="24"/>
        </w:rPr>
      </w:pPr>
      <w:r w:rsidRPr="002154A7">
        <w:rPr>
          <w:rFonts w:ascii="Times New Roman" w:hAnsi="Times New Roman" w:cs="Times New Roman"/>
          <w:sz w:val="24"/>
          <w:szCs w:val="24"/>
        </w:rPr>
        <w:t>Data were statistically analyzed using ANOVA (Analysis of Variance) followed by DMRT (Duncan's Multiple Range Test) and correlation test.</w:t>
      </w:r>
    </w:p>
    <w:p w:rsidR="004B2BF0" w:rsidRPr="004B2BF0" w:rsidRDefault="004B2BF0" w:rsidP="004B2BF0">
      <w:pPr>
        <w:spacing w:after="0" w:line="480" w:lineRule="auto"/>
        <w:jc w:val="both"/>
        <w:rPr>
          <w:rFonts w:ascii="Times New Roman" w:hAnsi="Times New Roman" w:cs="Times New Roman"/>
          <w:b/>
          <w:sz w:val="24"/>
          <w:szCs w:val="24"/>
        </w:rPr>
      </w:pPr>
      <w:r w:rsidRPr="004B2BF0">
        <w:rPr>
          <w:rFonts w:ascii="Times New Roman" w:hAnsi="Times New Roman" w:cs="Times New Roman"/>
          <w:b/>
          <w:sz w:val="24"/>
          <w:szCs w:val="24"/>
        </w:rPr>
        <w:t>Results</w:t>
      </w:r>
    </w:p>
    <w:p w:rsidR="004B2BF0" w:rsidRPr="004B2BF0" w:rsidRDefault="004B2BF0" w:rsidP="004B2BF0">
      <w:pPr>
        <w:spacing w:after="0" w:line="480" w:lineRule="auto"/>
        <w:jc w:val="both"/>
        <w:rPr>
          <w:rFonts w:ascii="Times New Roman" w:hAnsi="Times New Roman" w:cs="Times New Roman"/>
          <w:b/>
          <w:sz w:val="24"/>
          <w:szCs w:val="24"/>
        </w:rPr>
      </w:pPr>
      <w:r w:rsidRPr="004B2BF0">
        <w:rPr>
          <w:rFonts w:ascii="Times New Roman" w:hAnsi="Times New Roman" w:cs="Times New Roman"/>
          <w:b/>
          <w:sz w:val="24"/>
          <w:szCs w:val="24"/>
        </w:rPr>
        <w:t>Fungal Isolation</w:t>
      </w:r>
    </w:p>
    <w:p w:rsidR="009414CE" w:rsidRDefault="000671C9" w:rsidP="00BD54EE">
      <w:pPr>
        <w:spacing w:after="0" w:line="480" w:lineRule="auto"/>
        <w:ind w:firstLine="567"/>
        <w:jc w:val="both"/>
        <w:rPr>
          <w:rFonts w:ascii="Times New Roman" w:hAnsi="Times New Roman" w:cs="Times New Roman"/>
          <w:sz w:val="24"/>
          <w:szCs w:val="24"/>
        </w:rPr>
      </w:pPr>
      <w:r w:rsidRPr="000671C9">
        <w:rPr>
          <w:rFonts w:ascii="Times New Roman" w:hAnsi="Times New Roman" w:cs="Times New Roman"/>
          <w:sz w:val="24"/>
          <w:szCs w:val="24"/>
        </w:rPr>
        <w:t>Based on fungal isolation results</w:t>
      </w:r>
      <w:r w:rsidR="004B2BF0" w:rsidRPr="004B2BF0">
        <w:rPr>
          <w:rFonts w:ascii="Times New Roman" w:hAnsi="Times New Roman" w:cs="Times New Roman"/>
          <w:sz w:val="24"/>
          <w:szCs w:val="24"/>
        </w:rPr>
        <w:t xml:space="preserve">, </w:t>
      </w:r>
      <w:r w:rsidR="00EC4F39">
        <w:rPr>
          <w:rFonts w:ascii="Times New Roman" w:hAnsi="Times New Roman" w:cs="Times New Roman"/>
          <w:sz w:val="24"/>
          <w:szCs w:val="24"/>
        </w:rPr>
        <w:t xml:space="preserve">there </w:t>
      </w:r>
      <w:r w:rsidR="004B2BF0" w:rsidRPr="004B2BF0">
        <w:rPr>
          <w:rFonts w:ascii="Times New Roman" w:hAnsi="Times New Roman" w:cs="Times New Roman"/>
          <w:sz w:val="24"/>
          <w:szCs w:val="24"/>
        </w:rPr>
        <w:t>19 fungal isolates were obtained from rice fields, 15 fungal isolates from forest land, 14 fungal isolates from vegetable gardens, and 13 fungal isolates from residential land. The results of fungal isolates from the four land uses were then selected based on the best colony growth marked by clear colony color and the number of colo</w:t>
      </w:r>
      <w:r w:rsidR="009414CE">
        <w:rPr>
          <w:rFonts w:ascii="Times New Roman" w:hAnsi="Times New Roman" w:cs="Times New Roman"/>
          <w:sz w:val="24"/>
          <w:szCs w:val="24"/>
        </w:rPr>
        <w:t>nies that dominate in one p</w:t>
      </w:r>
      <w:r w:rsidR="004B2BF0">
        <w:rPr>
          <w:rFonts w:ascii="Times New Roman" w:hAnsi="Times New Roman" w:cs="Times New Roman"/>
          <w:sz w:val="24"/>
          <w:szCs w:val="24"/>
        </w:rPr>
        <w:t>etri</w:t>
      </w:r>
      <w:r>
        <w:rPr>
          <w:rFonts w:ascii="Times New Roman" w:hAnsi="Times New Roman" w:cs="Times New Roman"/>
          <w:sz w:val="24"/>
          <w:szCs w:val="24"/>
        </w:rPr>
        <w:t xml:space="preserve"> </w:t>
      </w:r>
      <w:r w:rsidR="004B2BF0" w:rsidRPr="004B2BF0">
        <w:rPr>
          <w:rFonts w:ascii="Times New Roman" w:hAnsi="Times New Roman" w:cs="Times New Roman"/>
          <w:sz w:val="24"/>
          <w:szCs w:val="24"/>
        </w:rPr>
        <w:t>dish.</w:t>
      </w:r>
    </w:p>
    <w:p w:rsidR="004B2BF0" w:rsidRDefault="00C72455" w:rsidP="004B2BF0">
      <w:pPr>
        <w:spacing w:after="0" w:line="480" w:lineRule="auto"/>
        <w:ind w:left="993" w:hanging="993"/>
        <w:jc w:val="both"/>
        <w:rPr>
          <w:rFonts w:ascii="Times New Roman" w:hAnsi="Times New Roman" w:cs="Times New Roman"/>
          <w:sz w:val="24"/>
        </w:rPr>
      </w:pPr>
      <w:r>
        <w:rPr>
          <w:rFonts w:ascii="Times New Roman" w:hAnsi="Times New Roman" w:cs="Times New Roman"/>
          <w:b/>
          <w:sz w:val="24"/>
          <w:szCs w:val="24"/>
        </w:rPr>
        <w:t>Table</w:t>
      </w:r>
      <w:r w:rsidR="004B2BF0">
        <w:rPr>
          <w:rFonts w:ascii="Times New Roman" w:hAnsi="Times New Roman" w:cs="Times New Roman"/>
          <w:b/>
          <w:sz w:val="24"/>
          <w:szCs w:val="24"/>
        </w:rPr>
        <w:t xml:space="preserve"> 1</w:t>
      </w:r>
      <w:r w:rsidR="004B2BF0" w:rsidRPr="00314B82">
        <w:rPr>
          <w:rFonts w:ascii="Times New Roman" w:hAnsi="Times New Roman" w:cs="Times New Roman"/>
          <w:b/>
          <w:sz w:val="24"/>
          <w:szCs w:val="24"/>
        </w:rPr>
        <w:t>.</w:t>
      </w:r>
      <w:r w:rsidR="004B2BF0">
        <w:rPr>
          <w:rFonts w:ascii="Times New Roman" w:hAnsi="Times New Roman" w:cs="Times New Roman"/>
          <w:sz w:val="24"/>
          <w:szCs w:val="24"/>
        </w:rPr>
        <w:t xml:space="preserve"> </w:t>
      </w:r>
      <w:r w:rsidR="004B2BF0" w:rsidRPr="004B2BF0">
        <w:rPr>
          <w:rFonts w:ascii="Times New Roman" w:hAnsi="Times New Roman" w:cs="Times New Roman"/>
          <w:sz w:val="24"/>
        </w:rPr>
        <w:t>Fungal Isolates from Rice Field, Forest, Vegetable Garden, and Settlement Land Use</w:t>
      </w:r>
    </w:p>
    <w:tbl>
      <w:tblPr>
        <w:tblStyle w:val="TableGrid"/>
        <w:tblW w:w="0" w:type="auto"/>
        <w:tblInd w:w="108" w:type="dxa"/>
        <w:tblLook w:val="04A0" w:firstRow="1" w:lastRow="0" w:firstColumn="1" w:lastColumn="0" w:noHBand="0" w:noVBand="1"/>
      </w:tblPr>
      <w:tblGrid>
        <w:gridCol w:w="3969"/>
        <w:gridCol w:w="3969"/>
      </w:tblGrid>
      <w:tr w:rsidR="004B2BF0" w:rsidTr="00141F43">
        <w:tc>
          <w:tcPr>
            <w:tcW w:w="3969" w:type="dxa"/>
            <w:tcBorders>
              <w:left w:val="nil"/>
              <w:bottom w:val="single" w:sz="4" w:space="0" w:color="auto"/>
              <w:right w:val="nil"/>
            </w:tcBorders>
          </w:tcPr>
          <w:p w:rsidR="004B2BF0" w:rsidRDefault="004B2BF0" w:rsidP="00141F43">
            <w:pPr>
              <w:pStyle w:val="ListParagraph"/>
              <w:spacing w:after="100" w:afterAutospacing="1" w:line="480" w:lineRule="auto"/>
              <w:ind w:left="0"/>
              <w:contextualSpacing w:val="0"/>
              <w:jc w:val="center"/>
              <w:rPr>
                <w:rFonts w:ascii="Times New Roman" w:hAnsi="Times New Roman" w:cs="Times New Roman"/>
                <w:sz w:val="24"/>
              </w:rPr>
            </w:pPr>
            <w:r w:rsidRPr="004B2BF0">
              <w:rPr>
                <w:rFonts w:ascii="Times New Roman" w:hAnsi="Times New Roman" w:cs="Times New Roman"/>
                <w:sz w:val="24"/>
              </w:rPr>
              <w:t>Type of Land Use</w:t>
            </w:r>
          </w:p>
        </w:tc>
        <w:tc>
          <w:tcPr>
            <w:tcW w:w="3969" w:type="dxa"/>
            <w:tcBorders>
              <w:left w:val="nil"/>
              <w:bottom w:val="single" w:sz="4" w:space="0" w:color="auto"/>
              <w:right w:val="nil"/>
            </w:tcBorders>
          </w:tcPr>
          <w:p w:rsidR="004B2BF0" w:rsidRDefault="004B2BF0" w:rsidP="00141F43">
            <w:pPr>
              <w:pStyle w:val="ListParagraph"/>
              <w:spacing w:after="100" w:afterAutospacing="1" w:line="480" w:lineRule="auto"/>
              <w:ind w:left="0"/>
              <w:contextualSpacing w:val="0"/>
              <w:jc w:val="center"/>
              <w:rPr>
                <w:rFonts w:ascii="Times New Roman" w:hAnsi="Times New Roman" w:cs="Times New Roman"/>
                <w:sz w:val="24"/>
              </w:rPr>
            </w:pPr>
            <w:r w:rsidRPr="004B2BF0">
              <w:rPr>
                <w:rFonts w:ascii="Times New Roman" w:hAnsi="Times New Roman" w:cs="Times New Roman"/>
                <w:sz w:val="24"/>
              </w:rPr>
              <w:t>Code of Dominant Fungal Isolate</w:t>
            </w:r>
          </w:p>
        </w:tc>
      </w:tr>
      <w:tr w:rsidR="004B2BF0" w:rsidTr="00141F43">
        <w:tc>
          <w:tcPr>
            <w:tcW w:w="3969" w:type="dxa"/>
            <w:tcBorders>
              <w:left w:val="nil"/>
              <w:bottom w:val="nil"/>
              <w:right w:val="nil"/>
            </w:tcBorders>
          </w:tcPr>
          <w:p w:rsidR="004B2BF0" w:rsidRPr="00141FBF" w:rsidRDefault="00C72455" w:rsidP="00141F43">
            <w:pPr>
              <w:pStyle w:val="ListParagraph"/>
              <w:spacing w:after="100" w:afterAutospacing="1" w:line="480" w:lineRule="auto"/>
              <w:ind w:left="0"/>
              <w:contextualSpacing w:val="0"/>
              <w:rPr>
                <w:rFonts w:ascii="Times New Roman" w:hAnsi="Times New Roman" w:cs="Times New Roman"/>
                <w:sz w:val="24"/>
                <w:szCs w:val="24"/>
              </w:rPr>
            </w:pPr>
            <w:r w:rsidRPr="00C72455">
              <w:rPr>
                <w:rFonts w:ascii="Times New Roman" w:hAnsi="Times New Roman" w:cs="Times New Roman"/>
                <w:sz w:val="24"/>
                <w:szCs w:val="24"/>
              </w:rPr>
              <w:t>Agricultural Land Use (LS)</w:t>
            </w:r>
          </w:p>
        </w:tc>
        <w:tc>
          <w:tcPr>
            <w:tcW w:w="3969" w:type="dxa"/>
            <w:tcBorders>
              <w:left w:val="nil"/>
              <w:bottom w:val="nil"/>
              <w:right w:val="nil"/>
            </w:tcBorders>
          </w:tcPr>
          <w:p w:rsidR="004B2BF0" w:rsidRPr="002314ED" w:rsidRDefault="004B2BF0" w:rsidP="00141F43">
            <w:pPr>
              <w:pStyle w:val="ListParagraph"/>
              <w:spacing w:after="100" w:afterAutospacing="1" w:line="480" w:lineRule="auto"/>
              <w:ind w:left="0"/>
              <w:contextualSpacing w:val="0"/>
              <w:rPr>
                <w:rFonts w:ascii="Times New Roman" w:hAnsi="Times New Roman" w:cs="Times New Roman"/>
                <w:sz w:val="24"/>
                <w:szCs w:val="24"/>
              </w:rPr>
            </w:pPr>
            <w:r w:rsidRPr="002314ED">
              <w:rPr>
                <w:rFonts w:ascii="Times New Roman" w:hAnsi="Times New Roman" w:cs="Times New Roman"/>
                <w:sz w:val="24"/>
                <w:szCs w:val="24"/>
              </w:rPr>
              <w:t>S1, S2</w:t>
            </w:r>
          </w:p>
        </w:tc>
      </w:tr>
      <w:tr w:rsidR="004B2BF0" w:rsidTr="00141F43">
        <w:tc>
          <w:tcPr>
            <w:tcW w:w="3969" w:type="dxa"/>
            <w:tcBorders>
              <w:top w:val="nil"/>
              <w:left w:val="nil"/>
              <w:bottom w:val="nil"/>
              <w:right w:val="nil"/>
            </w:tcBorders>
          </w:tcPr>
          <w:p w:rsidR="004B2BF0" w:rsidRPr="00141FBF" w:rsidRDefault="00C72455" w:rsidP="00141F43">
            <w:pPr>
              <w:pStyle w:val="ListParagraph"/>
              <w:spacing w:after="100" w:afterAutospacing="1" w:line="480" w:lineRule="auto"/>
              <w:ind w:left="0"/>
              <w:contextualSpacing w:val="0"/>
              <w:rPr>
                <w:rFonts w:ascii="Times New Roman" w:hAnsi="Times New Roman" w:cs="Times New Roman"/>
                <w:sz w:val="24"/>
                <w:szCs w:val="24"/>
              </w:rPr>
            </w:pPr>
            <w:r w:rsidRPr="00C72455">
              <w:rPr>
                <w:rFonts w:ascii="Times New Roman" w:hAnsi="Times New Roman" w:cs="Times New Roman"/>
                <w:sz w:val="24"/>
                <w:szCs w:val="24"/>
              </w:rPr>
              <w:t>Forest Land Use (LH)</w:t>
            </w:r>
          </w:p>
        </w:tc>
        <w:tc>
          <w:tcPr>
            <w:tcW w:w="3969" w:type="dxa"/>
            <w:tcBorders>
              <w:top w:val="nil"/>
              <w:left w:val="nil"/>
              <w:bottom w:val="nil"/>
              <w:right w:val="nil"/>
            </w:tcBorders>
          </w:tcPr>
          <w:p w:rsidR="004B2BF0" w:rsidRPr="002314ED" w:rsidRDefault="004B2BF0" w:rsidP="00141F43">
            <w:pPr>
              <w:pStyle w:val="ListParagraph"/>
              <w:spacing w:after="100" w:afterAutospacing="1" w:line="480" w:lineRule="auto"/>
              <w:ind w:left="0"/>
              <w:contextualSpacing w:val="0"/>
              <w:rPr>
                <w:rFonts w:ascii="Times New Roman" w:hAnsi="Times New Roman" w:cs="Times New Roman"/>
                <w:sz w:val="24"/>
                <w:szCs w:val="24"/>
              </w:rPr>
            </w:pPr>
            <w:r w:rsidRPr="002314ED">
              <w:rPr>
                <w:rFonts w:ascii="Times New Roman" w:hAnsi="Times New Roman" w:cs="Times New Roman"/>
                <w:sz w:val="24"/>
                <w:szCs w:val="24"/>
              </w:rPr>
              <w:t>H1a, H1b , H2a , H2b</w:t>
            </w:r>
          </w:p>
        </w:tc>
      </w:tr>
      <w:tr w:rsidR="004B2BF0" w:rsidTr="00141F43">
        <w:tc>
          <w:tcPr>
            <w:tcW w:w="3969" w:type="dxa"/>
            <w:tcBorders>
              <w:top w:val="nil"/>
              <w:left w:val="nil"/>
              <w:bottom w:val="nil"/>
              <w:right w:val="nil"/>
            </w:tcBorders>
          </w:tcPr>
          <w:p w:rsidR="004B2BF0" w:rsidRPr="00141FBF" w:rsidRDefault="00C72455" w:rsidP="00141F43">
            <w:pPr>
              <w:pStyle w:val="ListParagraph"/>
              <w:spacing w:after="100" w:afterAutospacing="1" w:line="480" w:lineRule="auto"/>
              <w:ind w:left="0"/>
              <w:contextualSpacing w:val="0"/>
              <w:rPr>
                <w:rFonts w:ascii="Times New Roman" w:hAnsi="Times New Roman" w:cs="Times New Roman"/>
                <w:sz w:val="24"/>
                <w:szCs w:val="24"/>
              </w:rPr>
            </w:pPr>
            <w:r w:rsidRPr="00C72455">
              <w:rPr>
                <w:rFonts w:ascii="Times New Roman" w:hAnsi="Times New Roman" w:cs="Times New Roman"/>
                <w:sz w:val="24"/>
                <w:szCs w:val="24"/>
              </w:rPr>
              <w:t>Vegetable Garden Land Use</w:t>
            </w:r>
            <w:r>
              <w:rPr>
                <w:rFonts w:ascii="Times New Roman" w:hAnsi="Times New Roman" w:cs="Times New Roman"/>
                <w:sz w:val="24"/>
                <w:szCs w:val="24"/>
              </w:rPr>
              <w:t xml:space="preserve"> (LY)</w:t>
            </w:r>
          </w:p>
        </w:tc>
        <w:tc>
          <w:tcPr>
            <w:tcW w:w="3969" w:type="dxa"/>
            <w:tcBorders>
              <w:top w:val="nil"/>
              <w:left w:val="nil"/>
              <w:bottom w:val="nil"/>
              <w:right w:val="nil"/>
            </w:tcBorders>
          </w:tcPr>
          <w:p w:rsidR="004B2BF0" w:rsidRPr="002314ED" w:rsidRDefault="004B2BF0" w:rsidP="00141F43">
            <w:pPr>
              <w:pStyle w:val="ListParagraph"/>
              <w:spacing w:after="100" w:afterAutospacing="1" w:line="480" w:lineRule="auto"/>
              <w:ind w:left="0"/>
              <w:contextualSpacing w:val="0"/>
              <w:rPr>
                <w:rFonts w:ascii="Times New Roman" w:hAnsi="Times New Roman" w:cs="Times New Roman"/>
                <w:sz w:val="24"/>
                <w:szCs w:val="24"/>
              </w:rPr>
            </w:pPr>
            <w:r w:rsidRPr="002314ED">
              <w:rPr>
                <w:rFonts w:ascii="Times New Roman" w:hAnsi="Times New Roman" w:cs="Times New Roman"/>
                <w:sz w:val="24"/>
                <w:szCs w:val="24"/>
              </w:rPr>
              <w:t xml:space="preserve">Y1, Y2 </w:t>
            </w:r>
          </w:p>
        </w:tc>
      </w:tr>
      <w:tr w:rsidR="004B2BF0" w:rsidTr="00141F43">
        <w:tc>
          <w:tcPr>
            <w:tcW w:w="3969" w:type="dxa"/>
            <w:tcBorders>
              <w:top w:val="nil"/>
              <w:left w:val="nil"/>
              <w:right w:val="nil"/>
            </w:tcBorders>
          </w:tcPr>
          <w:p w:rsidR="004B2BF0" w:rsidRPr="00141FBF" w:rsidRDefault="00C72455" w:rsidP="00141F43">
            <w:pPr>
              <w:pStyle w:val="ListParagraph"/>
              <w:spacing w:after="100" w:afterAutospacing="1" w:line="480" w:lineRule="auto"/>
              <w:ind w:left="0"/>
              <w:contextualSpacing w:val="0"/>
              <w:rPr>
                <w:rFonts w:ascii="Times New Roman" w:hAnsi="Times New Roman" w:cs="Times New Roman"/>
                <w:sz w:val="24"/>
                <w:szCs w:val="24"/>
              </w:rPr>
            </w:pPr>
            <w:r w:rsidRPr="00C72455">
              <w:rPr>
                <w:rFonts w:ascii="Times New Roman" w:hAnsi="Times New Roman" w:cs="Times New Roman"/>
                <w:sz w:val="24"/>
                <w:szCs w:val="24"/>
              </w:rPr>
              <w:t>Settlement Land Use (LP)</w:t>
            </w:r>
          </w:p>
        </w:tc>
        <w:tc>
          <w:tcPr>
            <w:tcW w:w="3969" w:type="dxa"/>
            <w:tcBorders>
              <w:top w:val="nil"/>
              <w:left w:val="nil"/>
              <w:right w:val="nil"/>
            </w:tcBorders>
          </w:tcPr>
          <w:p w:rsidR="004B2BF0" w:rsidRPr="002314ED" w:rsidRDefault="004B2BF0" w:rsidP="00141F43">
            <w:pPr>
              <w:pStyle w:val="ListParagraph"/>
              <w:spacing w:after="100" w:afterAutospacing="1" w:line="480" w:lineRule="auto"/>
              <w:ind w:left="0"/>
              <w:contextualSpacing w:val="0"/>
              <w:rPr>
                <w:rFonts w:ascii="Times New Roman" w:hAnsi="Times New Roman" w:cs="Times New Roman"/>
                <w:sz w:val="24"/>
                <w:szCs w:val="24"/>
              </w:rPr>
            </w:pPr>
            <w:r w:rsidRPr="002314ED">
              <w:rPr>
                <w:rFonts w:ascii="Times New Roman" w:hAnsi="Times New Roman" w:cs="Times New Roman"/>
                <w:sz w:val="24"/>
                <w:szCs w:val="24"/>
              </w:rPr>
              <w:t>P1 , P2</w:t>
            </w:r>
          </w:p>
        </w:tc>
      </w:tr>
    </w:tbl>
    <w:p w:rsidR="004B2BF0" w:rsidRDefault="00C72455" w:rsidP="004B2BF0">
      <w:pPr>
        <w:spacing w:after="0" w:line="480" w:lineRule="auto"/>
        <w:jc w:val="both"/>
        <w:rPr>
          <w:rFonts w:ascii="Times New Roman" w:hAnsi="Times New Roman" w:cs="Times New Roman"/>
          <w:sz w:val="24"/>
          <w:szCs w:val="24"/>
        </w:rPr>
      </w:pPr>
      <w:r w:rsidRPr="00C72455">
        <w:rPr>
          <w:rFonts w:ascii="Times New Roman" w:hAnsi="Times New Roman" w:cs="Times New Roman"/>
          <w:sz w:val="24"/>
          <w:szCs w:val="24"/>
        </w:rPr>
        <w:t>Source: Primary Data</w:t>
      </w:r>
    </w:p>
    <w:p w:rsidR="00E51F3B" w:rsidRDefault="00C72455" w:rsidP="004B2BF0">
      <w:pPr>
        <w:spacing w:after="0" w:line="480" w:lineRule="auto"/>
        <w:jc w:val="both"/>
        <w:rPr>
          <w:rFonts w:ascii="Times New Roman" w:hAnsi="Times New Roman" w:cs="Times New Roman"/>
          <w:sz w:val="24"/>
          <w:szCs w:val="24"/>
        </w:rPr>
      </w:pPr>
      <w:r w:rsidRPr="00C72455">
        <w:rPr>
          <w:rFonts w:ascii="Times New Roman" w:hAnsi="Times New Roman" w:cs="Times New Roman"/>
          <w:sz w:val="24"/>
          <w:szCs w:val="24"/>
        </w:rPr>
        <w:t xml:space="preserve">Based on the selection results, the fungal isolates used as a fungal consortium from each land use were obtained (Table 1). Rice fields obtained 2 fungal isolates, forest land 4 fungal isolates, vegetable garden land 2 fungal isolates, and residential </w:t>
      </w:r>
      <w:r w:rsidR="006A1A3B">
        <w:rPr>
          <w:rFonts w:ascii="Times New Roman" w:hAnsi="Times New Roman" w:cs="Times New Roman"/>
          <w:sz w:val="24"/>
          <w:szCs w:val="24"/>
        </w:rPr>
        <w:t>land obtained 2 fungal isolates.</w:t>
      </w:r>
    </w:p>
    <w:p w:rsidR="00C72455" w:rsidRDefault="00C72455" w:rsidP="00C72455">
      <w:pPr>
        <w:spacing w:after="0" w:line="480" w:lineRule="auto"/>
        <w:jc w:val="both"/>
        <w:rPr>
          <w:rFonts w:ascii="Times New Roman" w:hAnsi="Times New Roman" w:cs="Times New Roman"/>
          <w:b/>
          <w:sz w:val="24"/>
          <w:szCs w:val="24"/>
        </w:rPr>
      </w:pPr>
      <w:r w:rsidRPr="00C72455">
        <w:rPr>
          <w:rFonts w:ascii="Times New Roman" w:hAnsi="Times New Roman" w:cs="Times New Roman"/>
          <w:b/>
          <w:sz w:val="24"/>
          <w:szCs w:val="24"/>
        </w:rPr>
        <w:lastRenderedPageBreak/>
        <w:t>Morphological Identification of Fungal Colonies</w:t>
      </w:r>
    </w:p>
    <w:p w:rsidR="009A0124" w:rsidRDefault="009A0124" w:rsidP="009A0124">
      <w:pPr>
        <w:spacing w:after="240"/>
        <w:jc w:val="both"/>
        <w:rPr>
          <w:rFonts w:ascii="Times New Roman" w:hAnsi="Times New Roman" w:cs="Times New Roman"/>
          <w:sz w:val="24"/>
        </w:rPr>
      </w:pPr>
      <w:r w:rsidRPr="00A66944">
        <w:rPr>
          <w:rFonts w:ascii="Times New Roman" w:hAnsi="Times New Roman" w:cs="Times New Roman"/>
          <w:b/>
          <w:sz w:val="24"/>
        </w:rPr>
        <w:t>T</w:t>
      </w:r>
      <w:r w:rsidR="001837DE">
        <w:rPr>
          <w:rFonts w:ascii="Times New Roman" w:hAnsi="Times New Roman" w:cs="Times New Roman"/>
          <w:b/>
          <w:sz w:val="24"/>
        </w:rPr>
        <w:t>able</w:t>
      </w:r>
      <w:r w:rsidRPr="00A66944">
        <w:rPr>
          <w:rFonts w:ascii="Times New Roman" w:hAnsi="Times New Roman" w:cs="Times New Roman"/>
          <w:b/>
          <w:sz w:val="24"/>
        </w:rPr>
        <w:t xml:space="preserve"> 2. </w:t>
      </w:r>
      <w:r w:rsidR="001837DE" w:rsidRPr="001837DE">
        <w:rPr>
          <w:rFonts w:ascii="Times New Roman" w:hAnsi="Times New Roman" w:cs="Times New Roman"/>
          <w:sz w:val="24"/>
        </w:rPr>
        <w:t>Macroscopic Observation of Fungal Colony Morphology</w:t>
      </w:r>
    </w:p>
    <w:tbl>
      <w:tblPr>
        <w:tblStyle w:val="TableGrid"/>
        <w:tblW w:w="8789" w:type="dxa"/>
        <w:tblInd w:w="108" w:type="dxa"/>
        <w:tblLayout w:type="fixed"/>
        <w:tblLook w:val="04A0" w:firstRow="1" w:lastRow="0" w:firstColumn="1" w:lastColumn="0" w:noHBand="0" w:noVBand="1"/>
      </w:tblPr>
      <w:tblGrid>
        <w:gridCol w:w="993"/>
        <w:gridCol w:w="1746"/>
        <w:gridCol w:w="2327"/>
        <w:gridCol w:w="1552"/>
        <w:gridCol w:w="2171"/>
      </w:tblGrid>
      <w:tr w:rsidR="009A0124" w:rsidTr="0039707B">
        <w:tc>
          <w:tcPr>
            <w:tcW w:w="993" w:type="dxa"/>
            <w:tcBorders>
              <w:left w:val="nil"/>
              <w:bottom w:val="single" w:sz="4" w:space="0" w:color="auto"/>
              <w:right w:val="nil"/>
            </w:tcBorders>
          </w:tcPr>
          <w:p w:rsidR="009A0124" w:rsidRDefault="009A0124" w:rsidP="0039707B">
            <w:pPr>
              <w:pStyle w:val="ListParagraph"/>
              <w:tabs>
                <w:tab w:val="left" w:pos="2977"/>
              </w:tabs>
              <w:spacing w:after="240"/>
              <w:ind w:left="0"/>
              <w:jc w:val="center"/>
              <w:rPr>
                <w:rFonts w:ascii="Times New Roman" w:hAnsi="Times New Roman" w:cs="Times New Roman"/>
                <w:sz w:val="24"/>
              </w:rPr>
            </w:pPr>
            <w:r>
              <w:rPr>
                <w:rFonts w:ascii="Times New Roman" w:hAnsi="Times New Roman" w:cs="Times New Roman"/>
                <w:sz w:val="24"/>
              </w:rPr>
              <w:t>No</w:t>
            </w:r>
          </w:p>
        </w:tc>
        <w:tc>
          <w:tcPr>
            <w:tcW w:w="1746" w:type="dxa"/>
            <w:tcBorders>
              <w:left w:val="nil"/>
              <w:bottom w:val="single" w:sz="4" w:space="0" w:color="auto"/>
              <w:right w:val="nil"/>
            </w:tcBorders>
          </w:tcPr>
          <w:p w:rsidR="009A0124" w:rsidRDefault="00CA1E59" w:rsidP="0039707B">
            <w:pPr>
              <w:pStyle w:val="ListParagraph"/>
              <w:tabs>
                <w:tab w:val="left" w:pos="2977"/>
              </w:tabs>
              <w:spacing w:after="240"/>
              <w:ind w:left="0"/>
              <w:jc w:val="center"/>
              <w:rPr>
                <w:rFonts w:ascii="Times New Roman" w:hAnsi="Times New Roman" w:cs="Times New Roman"/>
                <w:sz w:val="24"/>
              </w:rPr>
            </w:pPr>
            <w:r w:rsidRPr="00C72455">
              <w:rPr>
                <w:rFonts w:ascii="Times New Roman" w:hAnsi="Times New Roman" w:cs="Times New Roman"/>
                <w:sz w:val="24"/>
                <w:szCs w:val="24"/>
              </w:rPr>
              <w:t>Isolate Code</w:t>
            </w:r>
          </w:p>
        </w:tc>
        <w:tc>
          <w:tcPr>
            <w:tcW w:w="2327" w:type="dxa"/>
            <w:tcBorders>
              <w:left w:val="nil"/>
              <w:bottom w:val="single" w:sz="4" w:space="0" w:color="auto"/>
              <w:right w:val="nil"/>
            </w:tcBorders>
          </w:tcPr>
          <w:p w:rsidR="009A0124" w:rsidRDefault="00CA1E59" w:rsidP="0039707B">
            <w:pPr>
              <w:pStyle w:val="ListParagraph"/>
              <w:tabs>
                <w:tab w:val="left" w:pos="2977"/>
              </w:tabs>
              <w:spacing w:after="240"/>
              <w:ind w:left="0"/>
              <w:jc w:val="center"/>
              <w:rPr>
                <w:rFonts w:ascii="Times New Roman" w:hAnsi="Times New Roman" w:cs="Times New Roman"/>
                <w:sz w:val="24"/>
              </w:rPr>
            </w:pPr>
            <w:r w:rsidRPr="00CA1E59">
              <w:rPr>
                <w:rFonts w:ascii="Times New Roman" w:hAnsi="Times New Roman" w:cs="Times New Roman"/>
                <w:sz w:val="24"/>
              </w:rPr>
              <w:t>Colony Surface Color</w:t>
            </w:r>
          </w:p>
        </w:tc>
        <w:tc>
          <w:tcPr>
            <w:tcW w:w="1552" w:type="dxa"/>
            <w:tcBorders>
              <w:left w:val="nil"/>
              <w:bottom w:val="single" w:sz="4" w:space="0" w:color="auto"/>
              <w:right w:val="nil"/>
            </w:tcBorders>
          </w:tcPr>
          <w:p w:rsidR="009A0124" w:rsidRDefault="00CA1E59" w:rsidP="0039707B">
            <w:pPr>
              <w:pStyle w:val="ListParagraph"/>
              <w:tabs>
                <w:tab w:val="left" w:pos="2977"/>
              </w:tabs>
              <w:spacing w:after="240"/>
              <w:ind w:left="0"/>
              <w:jc w:val="center"/>
              <w:rPr>
                <w:rFonts w:ascii="Times New Roman" w:hAnsi="Times New Roman" w:cs="Times New Roman"/>
                <w:sz w:val="24"/>
              </w:rPr>
            </w:pPr>
            <w:r w:rsidRPr="00CA1E59">
              <w:rPr>
                <w:rFonts w:ascii="Times New Roman" w:hAnsi="Times New Roman" w:cs="Times New Roman"/>
                <w:sz w:val="24"/>
              </w:rPr>
              <w:t>Colony Edge Color</w:t>
            </w:r>
          </w:p>
        </w:tc>
        <w:tc>
          <w:tcPr>
            <w:tcW w:w="2171" w:type="dxa"/>
            <w:tcBorders>
              <w:left w:val="nil"/>
              <w:bottom w:val="single" w:sz="4" w:space="0" w:color="auto"/>
              <w:right w:val="nil"/>
            </w:tcBorders>
          </w:tcPr>
          <w:p w:rsidR="009A0124" w:rsidRDefault="00CA1E59" w:rsidP="0039707B">
            <w:pPr>
              <w:pStyle w:val="ListParagraph"/>
              <w:tabs>
                <w:tab w:val="left" w:pos="2977"/>
              </w:tabs>
              <w:spacing w:after="240"/>
              <w:ind w:left="0"/>
              <w:jc w:val="center"/>
              <w:rPr>
                <w:rFonts w:ascii="Times New Roman" w:hAnsi="Times New Roman" w:cs="Times New Roman"/>
                <w:sz w:val="24"/>
              </w:rPr>
            </w:pPr>
            <w:r w:rsidRPr="00CA1E59">
              <w:rPr>
                <w:rFonts w:ascii="Times New Roman" w:hAnsi="Times New Roman" w:cs="Times New Roman"/>
                <w:sz w:val="24"/>
              </w:rPr>
              <w:t>Colony Bottom Color</w:t>
            </w:r>
          </w:p>
        </w:tc>
      </w:tr>
      <w:tr w:rsidR="001837DE" w:rsidTr="0039707B">
        <w:tc>
          <w:tcPr>
            <w:tcW w:w="993" w:type="dxa"/>
            <w:tcBorders>
              <w:top w:val="single" w:sz="4" w:space="0" w:color="auto"/>
              <w:left w:val="nil"/>
              <w:bottom w:val="nil"/>
              <w:right w:val="nil"/>
            </w:tcBorders>
          </w:tcPr>
          <w:p w:rsidR="001837DE" w:rsidRDefault="001837DE" w:rsidP="0039707B">
            <w:pPr>
              <w:pStyle w:val="ListParagraph"/>
              <w:tabs>
                <w:tab w:val="left" w:pos="2977"/>
              </w:tabs>
              <w:spacing w:after="240"/>
              <w:ind w:left="0"/>
              <w:jc w:val="center"/>
              <w:rPr>
                <w:rFonts w:ascii="Times New Roman" w:hAnsi="Times New Roman" w:cs="Times New Roman"/>
                <w:sz w:val="24"/>
              </w:rPr>
            </w:pPr>
            <w:r>
              <w:rPr>
                <w:rFonts w:ascii="Times New Roman" w:hAnsi="Times New Roman" w:cs="Times New Roman"/>
                <w:sz w:val="24"/>
              </w:rPr>
              <w:t>1.</w:t>
            </w:r>
          </w:p>
        </w:tc>
        <w:tc>
          <w:tcPr>
            <w:tcW w:w="1746" w:type="dxa"/>
            <w:tcBorders>
              <w:top w:val="single" w:sz="4" w:space="0" w:color="auto"/>
              <w:left w:val="nil"/>
              <w:bottom w:val="nil"/>
              <w:right w:val="nil"/>
            </w:tcBorders>
          </w:tcPr>
          <w:p w:rsidR="001837DE" w:rsidRDefault="001837DE" w:rsidP="0039707B">
            <w:pPr>
              <w:pStyle w:val="ListParagraph"/>
              <w:tabs>
                <w:tab w:val="left" w:pos="2977"/>
              </w:tabs>
              <w:spacing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A1</w:t>
            </w:r>
          </w:p>
        </w:tc>
        <w:tc>
          <w:tcPr>
            <w:tcW w:w="2327" w:type="dxa"/>
            <w:tcBorders>
              <w:top w:val="single" w:sz="4" w:space="0" w:color="auto"/>
              <w:left w:val="nil"/>
              <w:bottom w:val="nil"/>
              <w:right w:val="nil"/>
            </w:tcBorders>
          </w:tcPr>
          <w:p w:rsidR="001837DE" w:rsidRPr="001837DE" w:rsidRDefault="001837DE" w:rsidP="001837DE">
            <w:pPr>
              <w:jc w:val="center"/>
              <w:rPr>
                <w:rFonts w:ascii="Times New Roman" w:hAnsi="Times New Roman" w:cs="Times New Roman"/>
                <w:sz w:val="24"/>
                <w:szCs w:val="24"/>
              </w:rPr>
            </w:pPr>
            <w:r>
              <w:rPr>
                <w:rFonts w:ascii="Times New Roman" w:hAnsi="Times New Roman" w:cs="Times New Roman"/>
                <w:sz w:val="24"/>
                <w:szCs w:val="24"/>
              </w:rPr>
              <w:t>Yellow-G</w:t>
            </w:r>
            <w:r w:rsidRPr="001837DE">
              <w:rPr>
                <w:rFonts w:ascii="Times New Roman" w:hAnsi="Times New Roman" w:cs="Times New Roman"/>
                <w:sz w:val="24"/>
                <w:szCs w:val="24"/>
              </w:rPr>
              <w:t>reen</w:t>
            </w:r>
          </w:p>
        </w:tc>
        <w:tc>
          <w:tcPr>
            <w:tcW w:w="1552" w:type="dxa"/>
            <w:tcBorders>
              <w:top w:val="single" w:sz="4" w:space="0" w:color="auto"/>
              <w:left w:val="nil"/>
              <w:bottom w:val="nil"/>
              <w:right w:val="nil"/>
            </w:tcBorders>
          </w:tcPr>
          <w:p w:rsidR="001837DE" w:rsidRPr="001837DE" w:rsidRDefault="001837DE" w:rsidP="001837DE">
            <w:pPr>
              <w:jc w:val="center"/>
              <w:rPr>
                <w:rFonts w:ascii="Times New Roman" w:hAnsi="Times New Roman" w:cs="Times New Roman"/>
                <w:sz w:val="24"/>
                <w:szCs w:val="24"/>
              </w:rPr>
            </w:pPr>
            <w:r w:rsidRPr="001837DE">
              <w:rPr>
                <w:rFonts w:ascii="Times New Roman" w:hAnsi="Times New Roman" w:cs="Times New Roman"/>
                <w:sz w:val="24"/>
                <w:szCs w:val="24"/>
              </w:rPr>
              <w:t>White</w:t>
            </w:r>
          </w:p>
        </w:tc>
        <w:tc>
          <w:tcPr>
            <w:tcW w:w="2171" w:type="dxa"/>
            <w:tcBorders>
              <w:top w:val="single" w:sz="4" w:space="0" w:color="auto"/>
              <w:left w:val="nil"/>
              <w:bottom w:val="nil"/>
              <w:right w:val="nil"/>
            </w:tcBorders>
          </w:tcPr>
          <w:p w:rsidR="001837DE" w:rsidRPr="001837DE" w:rsidRDefault="001837DE" w:rsidP="001837DE">
            <w:pPr>
              <w:jc w:val="center"/>
              <w:rPr>
                <w:rFonts w:ascii="Times New Roman" w:hAnsi="Times New Roman" w:cs="Times New Roman"/>
                <w:sz w:val="24"/>
                <w:szCs w:val="24"/>
              </w:rPr>
            </w:pPr>
            <w:r w:rsidRPr="001837DE">
              <w:rPr>
                <w:rFonts w:ascii="Times New Roman" w:hAnsi="Times New Roman" w:cs="Times New Roman"/>
                <w:sz w:val="24"/>
                <w:szCs w:val="24"/>
              </w:rPr>
              <w:t>Pale</w:t>
            </w:r>
          </w:p>
        </w:tc>
      </w:tr>
      <w:tr w:rsidR="001837DE" w:rsidTr="0039707B">
        <w:tc>
          <w:tcPr>
            <w:tcW w:w="993" w:type="dxa"/>
            <w:tcBorders>
              <w:top w:val="nil"/>
              <w:left w:val="nil"/>
              <w:bottom w:val="nil"/>
              <w:right w:val="nil"/>
            </w:tcBorders>
          </w:tcPr>
          <w:p w:rsidR="001837DE" w:rsidRDefault="001837DE" w:rsidP="0039707B">
            <w:pPr>
              <w:pStyle w:val="ListParagraph"/>
              <w:tabs>
                <w:tab w:val="left" w:pos="2977"/>
              </w:tabs>
              <w:spacing w:after="240"/>
              <w:ind w:left="0"/>
              <w:jc w:val="center"/>
              <w:rPr>
                <w:rFonts w:ascii="Times New Roman" w:hAnsi="Times New Roman" w:cs="Times New Roman"/>
                <w:sz w:val="24"/>
              </w:rPr>
            </w:pPr>
            <w:r>
              <w:rPr>
                <w:rFonts w:ascii="Times New Roman" w:hAnsi="Times New Roman" w:cs="Times New Roman"/>
                <w:sz w:val="24"/>
              </w:rPr>
              <w:t>2.</w:t>
            </w:r>
          </w:p>
        </w:tc>
        <w:tc>
          <w:tcPr>
            <w:tcW w:w="1746" w:type="dxa"/>
            <w:tcBorders>
              <w:top w:val="nil"/>
              <w:left w:val="nil"/>
              <w:bottom w:val="nil"/>
              <w:right w:val="nil"/>
            </w:tcBorders>
          </w:tcPr>
          <w:p w:rsidR="001837DE" w:rsidRDefault="001837DE" w:rsidP="0039707B">
            <w:pPr>
              <w:pStyle w:val="ListParagraph"/>
              <w:tabs>
                <w:tab w:val="left" w:pos="2977"/>
              </w:tabs>
              <w:spacing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S2b(2)</w:t>
            </w:r>
          </w:p>
        </w:tc>
        <w:tc>
          <w:tcPr>
            <w:tcW w:w="2327" w:type="dxa"/>
            <w:tcBorders>
              <w:top w:val="nil"/>
              <w:left w:val="nil"/>
              <w:bottom w:val="nil"/>
              <w:right w:val="nil"/>
            </w:tcBorders>
          </w:tcPr>
          <w:p w:rsidR="001837DE" w:rsidRPr="001837DE" w:rsidRDefault="001837DE" w:rsidP="001837DE">
            <w:pPr>
              <w:jc w:val="center"/>
              <w:rPr>
                <w:rFonts w:ascii="Times New Roman" w:hAnsi="Times New Roman" w:cs="Times New Roman"/>
                <w:sz w:val="24"/>
                <w:szCs w:val="24"/>
              </w:rPr>
            </w:pPr>
            <w:r w:rsidRPr="001837DE">
              <w:rPr>
                <w:rFonts w:ascii="Times New Roman" w:hAnsi="Times New Roman" w:cs="Times New Roman"/>
                <w:sz w:val="24"/>
                <w:szCs w:val="24"/>
              </w:rPr>
              <w:t>Black</w:t>
            </w:r>
          </w:p>
        </w:tc>
        <w:tc>
          <w:tcPr>
            <w:tcW w:w="1552" w:type="dxa"/>
            <w:tcBorders>
              <w:top w:val="nil"/>
              <w:left w:val="nil"/>
              <w:bottom w:val="nil"/>
              <w:right w:val="nil"/>
            </w:tcBorders>
          </w:tcPr>
          <w:p w:rsidR="001837DE" w:rsidRPr="001837DE" w:rsidRDefault="001837DE" w:rsidP="001837DE">
            <w:pPr>
              <w:jc w:val="center"/>
              <w:rPr>
                <w:rFonts w:ascii="Times New Roman" w:hAnsi="Times New Roman" w:cs="Times New Roman"/>
                <w:sz w:val="24"/>
                <w:szCs w:val="24"/>
              </w:rPr>
            </w:pPr>
            <w:r w:rsidRPr="001837DE">
              <w:rPr>
                <w:rFonts w:ascii="Times New Roman" w:hAnsi="Times New Roman" w:cs="Times New Roman"/>
                <w:sz w:val="24"/>
                <w:szCs w:val="24"/>
              </w:rPr>
              <w:t>White</w:t>
            </w:r>
          </w:p>
        </w:tc>
        <w:tc>
          <w:tcPr>
            <w:tcW w:w="2171" w:type="dxa"/>
            <w:tcBorders>
              <w:top w:val="nil"/>
              <w:left w:val="nil"/>
              <w:bottom w:val="nil"/>
              <w:right w:val="nil"/>
            </w:tcBorders>
          </w:tcPr>
          <w:p w:rsidR="001837DE" w:rsidRPr="001837DE" w:rsidRDefault="001837DE" w:rsidP="001837DE">
            <w:pPr>
              <w:jc w:val="center"/>
              <w:rPr>
                <w:rFonts w:ascii="Times New Roman" w:hAnsi="Times New Roman" w:cs="Times New Roman"/>
                <w:sz w:val="24"/>
                <w:szCs w:val="24"/>
              </w:rPr>
            </w:pPr>
            <w:r>
              <w:rPr>
                <w:rFonts w:ascii="Times New Roman" w:hAnsi="Times New Roman" w:cs="Times New Roman"/>
                <w:sz w:val="24"/>
                <w:szCs w:val="24"/>
              </w:rPr>
              <w:t>Pale-</w:t>
            </w:r>
            <w:r w:rsidRPr="001837DE">
              <w:rPr>
                <w:rFonts w:ascii="Times New Roman" w:hAnsi="Times New Roman" w:cs="Times New Roman"/>
                <w:sz w:val="24"/>
                <w:szCs w:val="24"/>
              </w:rPr>
              <w:t>yellow</w:t>
            </w:r>
          </w:p>
        </w:tc>
      </w:tr>
      <w:tr w:rsidR="001837DE" w:rsidTr="0039707B">
        <w:tc>
          <w:tcPr>
            <w:tcW w:w="993" w:type="dxa"/>
            <w:tcBorders>
              <w:top w:val="nil"/>
              <w:left w:val="nil"/>
              <w:bottom w:val="nil"/>
              <w:right w:val="nil"/>
            </w:tcBorders>
          </w:tcPr>
          <w:p w:rsidR="001837DE" w:rsidRDefault="001837DE" w:rsidP="0039707B">
            <w:pPr>
              <w:pStyle w:val="ListParagraph"/>
              <w:tabs>
                <w:tab w:val="left" w:pos="2977"/>
              </w:tabs>
              <w:spacing w:after="240"/>
              <w:ind w:left="0"/>
              <w:jc w:val="center"/>
              <w:rPr>
                <w:rFonts w:ascii="Times New Roman" w:hAnsi="Times New Roman" w:cs="Times New Roman"/>
                <w:sz w:val="24"/>
              </w:rPr>
            </w:pPr>
            <w:r>
              <w:rPr>
                <w:rFonts w:ascii="Times New Roman" w:hAnsi="Times New Roman" w:cs="Times New Roman"/>
                <w:sz w:val="24"/>
              </w:rPr>
              <w:t>3.</w:t>
            </w:r>
          </w:p>
        </w:tc>
        <w:tc>
          <w:tcPr>
            <w:tcW w:w="1746" w:type="dxa"/>
            <w:tcBorders>
              <w:top w:val="nil"/>
              <w:left w:val="nil"/>
              <w:bottom w:val="nil"/>
              <w:right w:val="nil"/>
            </w:tcBorders>
          </w:tcPr>
          <w:p w:rsidR="001837DE" w:rsidRDefault="001837DE" w:rsidP="0039707B">
            <w:pPr>
              <w:pStyle w:val="ListParagraph"/>
              <w:tabs>
                <w:tab w:val="left" w:pos="2977"/>
              </w:tabs>
              <w:spacing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Y1b</w:t>
            </w:r>
          </w:p>
        </w:tc>
        <w:tc>
          <w:tcPr>
            <w:tcW w:w="2327" w:type="dxa"/>
            <w:tcBorders>
              <w:top w:val="nil"/>
              <w:left w:val="nil"/>
              <w:bottom w:val="nil"/>
              <w:right w:val="nil"/>
            </w:tcBorders>
          </w:tcPr>
          <w:p w:rsidR="001837DE" w:rsidRPr="001837DE" w:rsidRDefault="001837DE" w:rsidP="001837DE">
            <w:pPr>
              <w:jc w:val="center"/>
              <w:rPr>
                <w:rFonts w:ascii="Times New Roman" w:hAnsi="Times New Roman" w:cs="Times New Roman"/>
                <w:sz w:val="24"/>
                <w:szCs w:val="24"/>
              </w:rPr>
            </w:pPr>
            <w:r>
              <w:rPr>
                <w:rFonts w:ascii="Times New Roman" w:hAnsi="Times New Roman" w:cs="Times New Roman"/>
                <w:sz w:val="24"/>
                <w:szCs w:val="24"/>
              </w:rPr>
              <w:t>Brownish-</w:t>
            </w:r>
            <w:r w:rsidRPr="001837DE">
              <w:rPr>
                <w:rFonts w:ascii="Times New Roman" w:hAnsi="Times New Roman" w:cs="Times New Roman"/>
                <w:sz w:val="24"/>
                <w:szCs w:val="24"/>
              </w:rPr>
              <w:t>Black</w:t>
            </w:r>
          </w:p>
        </w:tc>
        <w:tc>
          <w:tcPr>
            <w:tcW w:w="1552" w:type="dxa"/>
            <w:tcBorders>
              <w:top w:val="nil"/>
              <w:left w:val="nil"/>
              <w:bottom w:val="nil"/>
              <w:right w:val="nil"/>
            </w:tcBorders>
          </w:tcPr>
          <w:p w:rsidR="001837DE" w:rsidRPr="001837DE" w:rsidRDefault="001837DE" w:rsidP="001837DE">
            <w:pPr>
              <w:jc w:val="center"/>
              <w:rPr>
                <w:rFonts w:ascii="Times New Roman" w:hAnsi="Times New Roman" w:cs="Times New Roman"/>
                <w:sz w:val="24"/>
                <w:szCs w:val="24"/>
              </w:rPr>
            </w:pPr>
            <w:r w:rsidRPr="001837DE">
              <w:rPr>
                <w:rFonts w:ascii="Times New Roman" w:hAnsi="Times New Roman" w:cs="Times New Roman"/>
                <w:sz w:val="24"/>
                <w:szCs w:val="24"/>
              </w:rPr>
              <w:t>White</w:t>
            </w:r>
          </w:p>
        </w:tc>
        <w:tc>
          <w:tcPr>
            <w:tcW w:w="2171" w:type="dxa"/>
            <w:tcBorders>
              <w:top w:val="nil"/>
              <w:left w:val="nil"/>
              <w:bottom w:val="nil"/>
              <w:right w:val="nil"/>
            </w:tcBorders>
          </w:tcPr>
          <w:p w:rsidR="001837DE" w:rsidRPr="001837DE" w:rsidRDefault="001837DE" w:rsidP="001837DE">
            <w:pPr>
              <w:jc w:val="center"/>
              <w:rPr>
                <w:rFonts w:ascii="Times New Roman" w:hAnsi="Times New Roman" w:cs="Times New Roman"/>
                <w:sz w:val="24"/>
                <w:szCs w:val="24"/>
              </w:rPr>
            </w:pPr>
            <w:r>
              <w:rPr>
                <w:rFonts w:ascii="Times New Roman" w:hAnsi="Times New Roman" w:cs="Times New Roman"/>
                <w:sz w:val="24"/>
                <w:szCs w:val="24"/>
              </w:rPr>
              <w:t>Brownish-</w:t>
            </w:r>
            <w:r w:rsidRPr="001837DE">
              <w:rPr>
                <w:rFonts w:ascii="Times New Roman" w:hAnsi="Times New Roman" w:cs="Times New Roman"/>
                <w:sz w:val="24"/>
                <w:szCs w:val="24"/>
              </w:rPr>
              <w:t>White</w:t>
            </w:r>
          </w:p>
        </w:tc>
      </w:tr>
      <w:tr w:rsidR="001837DE" w:rsidTr="0039707B">
        <w:tc>
          <w:tcPr>
            <w:tcW w:w="993" w:type="dxa"/>
            <w:tcBorders>
              <w:top w:val="nil"/>
              <w:left w:val="nil"/>
              <w:bottom w:val="single" w:sz="4" w:space="0" w:color="auto"/>
              <w:right w:val="nil"/>
            </w:tcBorders>
          </w:tcPr>
          <w:p w:rsidR="001837DE" w:rsidRDefault="001837DE" w:rsidP="0039707B">
            <w:pPr>
              <w:pStyle w:val="ListParagraph"/>
              <w:tabs>
                <w:tab w:val="left" w:pos="2977"/>
              </w:tabs>
              <w:spacing w:after="240"/>
              <w:ind w:left="0"/>
              <w:jc w:val="center"/>
              <w:rPr>
                <w:rFonts w:ascii="Times New Roman" w:hAnsi="Times New Roman" w:cs="Times New Roman"/>
                <w:sz w:val="24"/>
              </w:rPr>
            </w:pPr>
            <w:r>
              <w:rPr>
                <w:rFonts w:ascii="Times New Roman" w:hAnsi="Times New Roman" w:cs="Times New Roman"/>
                <w:sz w:val="24"/>
              </w:rPr>
              <w:t>4.</w:t>
            </w:r>
          </w:p>
        </w:tc>
        <w:tc>
          <w:tcPr>
            <w:tcW w:w="1746" w:type="dxa"/>
            <w:tcBorders>
              <w:top w:val="nil"/>
              <w:left w:val="nil"/>
              <w:bottom w:val="single" w:sz="4" w:space="0" w:color="auto"/>
              <w:right w:val="nil"/>
            </w:tcBorders>
          </w:tcPr>
          <w:p w:rsidR="001837DE" w:rsidRDefault="001837DE" w:rsidP="0039707B">
            <w:pPr>
              <w:pStyle w:val="ListParagraph"/>
              <w:tabs>
                <w:tab w:val="left" w:pos="2977"/>
              </w:tabs>
              <w:spacing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H2a</w:t>
            </w:r>
          </w:p>
        </w:tc>
        <w:tc>
          <w:tcPr>
            <w:tcW w:w="2327" w:type="dxa"/>
            <w:tcBorders>
              <w:top w:val="nil"/>
              <w:left w:val="nil"/>
              <w:bottom w:val="single" w:sz="4" w:space="0" w:color="auto"/>
              <w:right w:val="nil"/>
            </w:tcBorders>
          </w:tcPr>
          <w:p w:rsidR="001837DE" w:rsidRPr="001837DE" w:rsidRDefault="001837DE" w:rsidP="001837DE">
            <w:pPr>
              <w:jc w:val="center"/>
              <w:rPr>
                <w:rFonts w:ascii="Times New Roman" w:hAnsi="Times New Roman" w:cs="Times New Roman"/>
                <w:sz w:val="24"/>
                <w:szCs w:val="24"/>
              </w:rPr>
            </w:pPr>
            <w:r>
              <w:rPr>
                <w:rFonts w:ascii="Times New Roman" w:hAnsi="Times New Roman" w:cs="Times New Roman"/>
                <w:sz w:val="24"/>
                <w:szCs w:val="24"/>
              </w:rPr>
              <w:t>Orange-</w:t>
            </w:r>
            <w:r w:rsidRPr="001837DE">
              <w:rPr>
                <w:rFonts w:ascii="Times New Roman" w:hAnsi="Times New Roman" w:cs="Times New Roman"/>
                <w:sz w:val="24"/>
                <w:szCs w:val="24"/>
              </w:rPr>
              <w:t>Red</w:t>
            </w:r>
          </w:p>
        </w:tc>
        <w:tc>
          <w:tcPr>
            <w:tcW w:w="1552" w:type="dxa"/>
            <w:tcBorders>
              <w:top w:val="nil"/>
              <w:left w:val="nil"/>
              <w:bottom w:val="single" w:sz="4" w:space="0" w:color="auto"/>
              <w:right w:val="nil"/>
            </w:tcBorders>
          </w:tcPr>
          <w:p w:rsidR="001837DE" w:rsidRPr="001837DE" w:rsidRDefault="001837DE" w:rsidP="001837DE">
            <w:pPr>
              <w:jc w:val="center"/>
              <w:rPr>
                <w:rFonts w:ascii="Times New Roman" w:hAnsi="Times New Roman" w:cs="Times New Roman"/>
                <w:sz w:val="24"/>
                <w:szCs w:val="24"/>
              </w:rPr>
            </w:pPr>
            <w:r w:rsidRPr="001837DE">
              <w:rPr>
                <w:rFonts w:ascii="Times New Roman" w:hAnsi="Times New Roman" w:cs="Times New Roman"/>
                <w:sz w:val="24"/>
                <w:szCs w:val="24"/>
              </w:rPr>
              <w:t>White</w:t>
            </w:r>
          </w:p>
        </w:tc>
        <w:tc>
          <w:tcPr>
            <w:tcW w:w="2171" w:type="dxa"/>
            <w:tcBorders>
              <w:top w:val="nil"/>
              <w:left w:val="nil"/>
              <w:bottom w:val="single" w:sz="4" w:space="0" w:color="auto"/>
              <w:right w:val="nil"/>
            </w:tcBorders>
          </w:tcPr>
          <w:p w:rsidR="001837DE" w:rsidRPr="001837DE" w:rsidRDefault="001837DE" w:rsidP="001837DE">
            <w:pPr>
              <w:jc w:val="center"/>
              <w:rPr>
                <w:rFonts w:ascii="Times New Roman" w:hAnsi="Times New Roman" w:cs="Times New Roman"/>
                <w:sz w:val="24"/>
                <w:szCs w:val="24"/>
              </w:rPr>
            </w:pPr>
            <w:r w:rsidRPr="001837DE">
              <w:rPr>
                <w:rFonts w:ascii="Times New Roman" w:hAnsi="Times New Roman" w:cs="Times New Roman"/>
                <w:sz w:val="24"/>
                <w:szCs w:val="24"/>
              </w:rPr>
              <w:t>Reddish</w:t>
            </w:r>
          </w:p>
        </w:tc>
      </w:tr>
    </w:tbl>
    <w:p w:rsidR="009A0124" w:rsidRDefault="001837DE" w:rsidP="009A0124">
      <w:pPr>
        <w:tabs>
          <w:tab w:val="left" w:pos="2977"/>
        </w:tabs>
        <w:spacing w:after="0" w:line="240" w:lineRule="auto"/>
        <w:jc w:val="both"/>
        <w:rPr>
          <w:rFonts w:ascii="Times New Roman" w:hAnsi="Times New Roman" w:cs="Times New Roman"/>
          <w:sz w:val="24"/>
        </w:rPr>
      </w:pPr>
      <w:r w:rsidRPr="001837DE">
        <w:rPr>
          <w:rFonts w:ascii="Times New Roman" w:hAnsi="Times New Roman" w:cs="Times New Roman"/>
          <w:sz w:val="24"/>
        </w:rPr>
        <w:t>Source: Primary Data</w:t>
      </w:r>
    </w:p>
    <w:p w:rsidR="001837DE" w:rsidRDefault="001837DE" w:rsidP="009A0124">
      <w:pPr>
        <w:tabs>
          <w:tab w:val="left" w:pos="2977"/>
        </w:tabs>
        <w:spacing w:after="0" w:line="240" w:lineRule="auto"/>
        <w:jc w:val="both"/>
        <w:rPr>
          <w:rFonts w:ascii="Times New Roman" w:hAnsi="Times New Roman" w:cs="Times New Roman"/>
          <w:sz w:val="24"/>
        </w:rPr>
      </w:pPr>
    </w:p>
    <w:p w:rsidR="009A0124" w:rsidRDefault="009A0124" w:rsidP="009A0124">
      <w:pPr>
        <w:spacing w:after="240"/>
        <w:jc w:val="both"/>
        <w:rPr>
          <w:rFonts w:ascii="Times New Roman" w:hAnsi="Times New Roman" w:cs="Times New Roman"/>
          <w:sz w:val="24"/>
        </w:rPr>
      </w:pPr>
      <w:r w:rsidRPr="00A66944">
        <w:rPr>
          <w:rFonts w:ascii="Times New Roman" w:hAnsi="Times New Roman" w:cs="Times New Roman"/>
          <w:b/>
          <w:sz w:val="24"/>
        </w:rPr>
        <w:t>T</w:t>
      </w:r>
      <w:r w:rsidR="001837DE">
        <w:rPr>
          <w:rFonts w:ascii="Times New Roman" w:hAnsi="Times New Roman" w:cs="Times New Roman"/>
          <w:b/>
          <w:sz w:val="24"/>
        </w:rPr>
        <w:t>able</w:t>
      </w:r>
      <w:r w:rsidRPr="00A66944">
        <w:rPr>
          <w:rFonts w:ascii="Times New Roman" w:hAnsi="Times New Roman" w:cs="Times New Roman"/>
          <w:b/>
          <w:sz w:val="24"/>
        </w:rPr>
        <w:t xml:space="preserve"> </w:t>
      </w:r>
      <w:r>
        <w:rPr>
          <w:rFonts w:ascii="Times New Roman" w:hAnsi="Times New Roman" w:cs="Times New Roman"/>
          <w:b/>
          <w:sz w:val="24"/>
        </w:rPr>
        <w:t>3</w:t>
      </w:r>
      <w:r w:rsidRPr="00A66944">
        <w:rPr>
          <w:rFonts w:ascii="Times New Roman" w:hAnsi="Times New Roman" w:cs="Times New Roman"/>
          <w:b/>
          <w:sz w:val="24"/>
        </w:rPr>
        <w:t xml:space="preserve">. </w:t>
      </w:r>
      <w:r w:rsidR="001837DE" w:rsidRPr="001837DE">
        <w:rPr>
          <w:rFonts w:ascii="Times New Roman" w:hAnsi="Times New Roman" w:cs="Times New Roman"/>
          <w:sz w:val="24"/>
        </w:rPr>
        <w:t>Microscopic Observation of Fungal Colony Morphology</w:t>
      </w:r>
    </w:p>
    <w:tbl>
      <w:tblPr>
        <w:tblStyle w:val="TableGrid"/>
        <w:tblW w:w="8364" w:type="dxa"/>
        <w:tblInd w:w="108" w:type="dxa"/>
        <w:tblLayout w:type="fixed"/>
        <w:tblLook w:val="04A0" w:firstRow="1" w:lastRow="0" w:firstColumn="1" w:lastColumn="0" w:noHBand="0" w:noVBand="1"/>
      </w:tblPr>
      <w:tblGrid>
        <w:gridCol w:w="993"/>
        <w:gridCol w:w="1746"/>
        <w:gridCol w:w="3215"/>
        <w:gridCol w:w="2410"/>
      </w:tblGrid>
      <w:tr w:rsidR="009A0124" w:rsidTr="0039707B">
        <w:tc>
          <w:tcPr>
            <w:tcW w:w="993" w:type="dxa"/>
            <w:tcBorders>
              <w:left w:val="nil"/>
              <w:bottom w:val="single" w:sz="4" w:space="0" w:color="auto"/>
              <w:right w:val="nil"/>
            </w:tcBorders>
          </w:tcPr>
          <w:p w:rsidR="009A0124" w:rsidRDefault="009A0124" w:rsidP="0039707B">
            <w:pPr>
              <w:pStyle w:val="ListParagraph"/>
              <w:tabs>
                <w:tab w:val="left" w:pos="2977"/>
              </w:tabs>
              <w:spacing w:after="240"/>
              <w:ind w:left="0"/>
              <w:jc w:val="center"/>
              <w:rPr>
                <w:rFonts w:ascii="Times New Roman" w:hAnsi="Times New Roman" w:cs="Times New Roman"/>
                <w:sz w:val="24"/>
              </w:rPr>
            </w:pPr>
            <w:r>
              <w:rPr>
                <w:rFonts w:ascii="Times New Roman" w:hAnsi="Times New Roman" w:cs="Times New Roman"/>
                <w:sz w:val="24"/>
              </w:rPr>
              <w:t>No</w:t>
            </w:r>
          </w:p>
        </w:tc>
        <w:tc>
          <w:tcPr>
            <w:tcW w:w="1746" w:type="dxa"/>
            <w:tcBorders>
              <w:left w:val="nil"/>
              <w:bottom w:val="single" w:sz="4" w:space="0" w:color="auto"/>
              <w:right w:val="nil"/>
            </w:tcBorders>
          </w:tcPr>
          <w:p w:rsidR="009A0124" w:rsidRDefault="00CA1E59" w:rsidP="0039707B">
            <w:pPr>
              <w:pStyle w:val="ListParagraph"/>
              <w:tabs>
                <w:tab w:val="left" w:pos="2977"/>
              </w:tabs>
              <w:spacing w:after="240"/>
              <w:ind w:left="0"/>
              <w:jc w:val="center"/>
              <w:rPr>
                <w:rFonts w:ascii="Times New Roman" w:hAnsi="Times New Roman" w:cs="Times New Roman"/>
                <w:sz w:val="24"/>
              </w:rPr>
            </w:pPr>
            <w:r w:rsidRPr="00C72455">
              <w:rPr>
                <w:rFonts w:ascii="Times New Roman" w:hAnsi="Times New Roman" w:cs="Times New Roman"/>
                <w:sz w:val="24"/>
                <w:szCs w:val="24"/>
              </w:rPr>
              <w:t>Isolate Code</w:t>
            </w:r>
          </w:p>
        </w:tc>
        <w:tc>
          <w:tcPr>
            <w:tcW w:w="3215" w:type="dxa"/>
            <w:tcBorders>
              <w:left w:val="nil"/>
              <w:bottom w:val="single" w:sz="4" w:space="0" w:color="auto"/>
              <w:right w:val="nil"/>
            </w:tcBorders>
          </w:tcPr>
          <w:p w:rsidR="009A0124" w:rsidRDefault="009A0124" w:rsidP="0039707B">
            <w:pPr>
              <w:pStyle w:val="ListParagraph"/>
              <w:tabs>
                <w:tab w:val="left" w:pos="2977"/>
              </w:tabs>
              <w:spacing w:after="240"/>
              <w:ind w:left="0"/>
              <w:jc w:val="center"/>
              <w:rPr>
                <w:rFonts w:ascii="Times New Roman" w:hAnsi="Times New Roman" w:cs="Times New Roman"/>
                <w:sz w:val="24"/>
              </w:rPr>
            </w:pPr>
            <w:r>
              <w:rPr>
                <w:rFonts w:ascii="Times New Roman" w:hAnsi="Times New Roman" w:cs="Times New Roman"/>
                <w:sz w:val="24"/>
              </w:rPr>
              <w:t>Spo</w:t>
            </w:r>
            <w:r w:rsidR="001837DE">
              <w:rPr>
                <w:rFonts w:ascii="Times New Roman" w:hAnsi="Times New Roman" w:cs="Times New Roman"/>
                <w:sz w:val="24"/>
              </w:rPr>
              <w:t>res</w:t>
            </w:r>
          </w:p>
        </w:tc>
        <w:tc>
          <w:tcPr>
            <w:tcW w:w="2410" w:type="dxa"/>
            <w:tcBorders>
              <w:left w:val="nil"/>
              <w:bottom w:val="single" w:sz="4" w:space="0" w:color="auto"/>
              <w:right w:val="nil"/>
            </w:tcBorders>
          </w:tcPr>
          <w:p w:rsidR="009A0124" w:rsidRDefault="001837DE" w:rsidP="0039707B">
            <w:pPr>
              <w:pStyle w:val="ListParagraph"/>
              <w:tabs>
                <w:tab w:val="left" w:pos="2977"/>
              </w:tabs>
              <w:spacing w:after="240"/>
              <w:ind w:left="0"/>
              <w:jc w:val="center"/>
              <w:rPr>
                <w:rFonts w:ascii="Times New Roman" w:hAnsi="Times New Roman" w:cs="Times New Roman"/>
                <w:sz w:val="24"/>
              </w:rPr>
            </w:pPr>
            <w:r w:rsidRPr="001837DE">
              <w:rPr>
                <w:rFonts w:ascii="Times New Roman" w:hAnsi="Times New Roman" w:cs="Times New Roman"/>
                <w:sz w:val="24"/>
              </w:rPr>
              <w:t>Hyphae</w:t>
            </w:r>
          </w:p>
        </w:tc>
      </w:tr>
      <w:tr w:rsidR="001837DE" w:rsidTr="0039707B">
        <w:tc>
          <w:tcPr>
            <w:tcW w:w="993" w:type="dxa"/>
            <w:tcBorders>
              <w:top w:val="single" w:sz="4" w:space="0" w:color="auto"/>
              <w:left w:val="nil"/>
              <w:bottom w:val="nil"/>
              <w:right w:val="nil"/>
            </w:tcBorders>
          </w:tcPr>
          <w:p w:rsidR="001837DE" w:rsidRDefault="001837DE" w:rsidP="0039707B">
            <w:pPr>
              <w:pStyle w:val="ListParagraph"/>
              <w:tabs>
                <w:tab w:val="left" w:pos="2977"/>
              </w:tabs>
              <w:spacing w:after="240"/>
              <w:ind w:left="0"/>
              <w:jc w:val="center"/>
              <w:rPr>
                <w:rFonts w:ascii="Times New Roman" w:hAnsi="Times New Roman" w:cs="Times New Roman"/>
                <w:sz w:val="24"/>
              </w:rPr>
            </w:pPr>
            <w:r>
              <w:rPr>
                <w:rFonts w:ascii="Times New Roman" w:hAnsi="Times New Roman" w:cs="Times New Roman"/>
                <w:sz w:val="24"/>
              </w:rPr>
              <w:t>1.</w:t>
            </w:r>
          </w:p>
        </w:tc>
        <w:tc>
          <w:tcPr>
            <w:tcW w:w="1746" w:type="dxa"/>
            <w:tcBorders>
              <w:top w:val="single" w:sz="4" w:space="0" w:color="auto"/>
              <w:left w:val="nil"/>
              <w:bottom w:val="nil"/>
              <w:right w:val="nil"/>
            </w:tcBorders>
          </w:tcPr>
          <w:p w:rsidR="001837DE" w:rsidRDefault="001837DE" w:rsidP="0039707B">
            <w:pPr>
              <w:pStyle w:val="ListParagraph"/>
              <w:tabs>
                <w:tab w:val="left" w:pos="2977"/>
              </w:tabs>
              <w:spacing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A1</w:t>
            </w:r>
          </w:p>
        </w:tc>
        <w:tc>
          <w:tcPr>
            <w:tcW w:w="3215" w:type="dxa"/>
            <w:tcBorders>
              <w:top w:val="single" w:sz="4" w:space="0" w:color="auto"/>
              <w:left w:val="nil"/>
              <w:bottom w:val="nil"/>
              <w:right w:val="nil"/>
            </w:tcBorders>
          </w:tcPr>
          <w:p w:rsidR="001837DE" w:rsidRPr="001837DE" w:rsidRDefault="001837DE" w:rsidP="001837DE">
            <w:pPr>
              <w:jc w:val="center"/>
              <w:rPr>
                <w:rFonts w:ascii="Times New Roman" w:hAnsi="Times New Roman" w:cs="Times New Roman"/>
                <w:sz w:val="24"/>
                <w:szCs w:val="24"/>
              </w:rPr>
            </w:pPr>
            <w:r w:rsidRPr="001837DE">
              <w:rPr>
                <w:rFonts w:ascii="Times New Roman" w:hAnsi="Times New Roman" w:cs="Times New Roman"/>
                <w:sz w:val="24"/>
                <w:szCs w:val="24"/>
              </w:rPr>
              <w:t>Round green</w:t>
            </w:r>
          </w:p>
        </w:tc>
        <w:tc>
          <w:tcPr>
            <w:tcW w:w="2410" w:type="dxa"/>
            <w:tcBorders>
              <w:top w:val="single" w:sz="4" w:space="0" w:color="auto"/>
              <w:left w:val="nil"/>
              <w:bottom w:val="nil"/>
              <w:right w:val="nil"/>
            </w:tcBorders>
          </w:tcPr>
          <w:p w:rsidR="001837DE" w:rsidRDefault="00F2328A" w:rsidP="0039707B">
            <w:pPr>
              <w:pStyle w:val="ListParagraph"/>
              <w:tabs>
                <w:tab w:val="left" w:pos="2977"/>
              </w:tabs>
              <w:spacing w:before="60" w:afterLines="60" w:after="144"/>
              <w:ind w:left="0"/>
              <w:contextualSpacing w:val="0"/>
              <w:jc w:val="center"/>
              <w:rPr>
                <w:rFonts w:ascii="Times New Roman" w:hAnsi="Times New Roman" w:cs="Times New Roman"/>
                <w:sz w:val="24"/>
              </w:rPr>
            </w:pPr>
            <w:r>
              <w:rPr>
                <w:rFonts w:ascii="Times New Roman" w:hAnsi="Times New Roman" w:cs="Times New Roman"/>
                <w:sz w:val="24"/>
              </w:rPr>
              <w:t>Has septum</w:t>
            </w:r>
          </w:p>
        </w:tc>
      </w:tr>
      <w:tr w:rsidR="001837DE" w:rsidTr="0039707B">
        <w:tc>
          <w:tcPr>
            <w:tcW w:w="993" w:type="dxa"/>
            <w:tcBorders>
              <w:top w:val="nil"/>
              <w:left w:val="nil"/>
              <w:bottom w:val="nil"/>
              <w:right w:val="nil"/>
            </w:tcBorders>
          </w:tcPr>
          <w:p w:rsidR="001837DE" w:rsidRDefault="001837DE" w:rsidP="0039707B">
            <w:pPr>
              <w:pStyle w:val="ListParagraph"/>
              <w:tabs>
                <w:tab w:val="left" w:pos="2977"/>
              </w:tabs>
              <w:spacing w:after="240"/>
              <w:ind w:left="0"/>
              <w:jc w:val="center"/>
              <w:rPr>
                <w:rFonts w:ascii="Times New Roman" w:hAnsi="Times New Roman" w:cs="Times New Roman"/>
                <w:sz w:val="24"/>
              </w:rPr>
            </w:pPr>
            <w:r>
              <w:rPr>
                <w:rFonts w:ascii="Times New Roman" w:hAnsi="Times New Roman" w:cs="Times New Roman"/>
                <w:sz w:val="24"/>
              </w:rPr>
              <w:t>2.</w:t>
            </w:r>
          </w:p>
        </w:tc>
        <w:tc>
          <w:tcPr>
            <w:tcW w:w="1746" w:type="dxa"/>
            <w:tcBorders>
              <w:top w:val="nil"/>
              <w:left w:val="nil"/>
              <w:bottom w:val="nil"/>
              <w:right w:val="nil"/>
            </w:tcBorders>
          </w:tcPr>
          <w:p w:rsidR="001837DE" w:rsidRDefault="001837DE" w:rsidP="0039707B">
            <w:pPr>
              <w:pStyle w:val="ListParagraph"/>
              <w:tabs>
                <w:tab w:val="left" w:pos="2977"/>
              </w:tabs>
              <w:spacing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S2b(2)</w:t>
            </w:r>
          </w:p>
        </w:tc>
        <w:tc>
          <w:tcPr>
            <w:tcW w:w="3215" w:type="dxa"/>
            <w:tcBorders>
              <w:top w:val="nil"/>
              <w:left w:val="nil"/>
              <w:bottom w:val="nil"/>
              <w:right w:val="nil"/>
            </w:tcBorders>
          </w:tcPr>
          <w:p w:rsidR="001837DE" w:rsidRPr="001837DE" w:rsidRDefault="001837DE" w:rsidP="001837DE">
            <w:pPr>
              <w:jc w:val="center"/>
              <w:rPr>
                <w:rFonts w:ascii="Times New Roman" w:hAnsi="Times New Roman" w:cs="Times New Roman"/>
                <w:sz w:val="24"/>
                <w:szCs w:val="24"/>
              </w:rPr>
            </w:pPr>
            <w:r w:rsidRPr="001837DE">
              <w:rPr>
                <w:rFonts w:ascii="Times New Roman" w:hAnsi="Times New Roman" w:cs="Times New Roman"/>
                <w:sz w:val="24"/>
                <w:szCs w:val="24"/>
              </w:rPr>
              <w:t>Round blackish green</w:t>
            </w:r>
          </w:p>
        </w:tc>
        <w:tc>
          <w:tcPr>
            <w:tcW w:w="2410" w:type="dxa"/>
            <w:tcBorders>
              <w:top w:val="nil"/>
              <w:left w:val="nil"/>
              <w:bottom w:val="nil"/>
              <w:right w:val="nil"/>
            </w:tcBorders>
          </w:tcPr>
          <w:p w:rsidR="001837DE" w:rsidRDefault="00F2328A" w:rsidP="00F2328A">
            <w:pPr>
              <w:pStyle w:val="ListParagraph"/>
              <w:tabs>
                <w:tab w:val="left" w:pos="2977"/>
              </w:tabs>
              <w:spacing w:before="60" w:afterLines="60" w:after="144"/>
              <w:ind w:left="0"/>
              <w:contextualSpacing w:val="0"/>
              <w:jc w:val="center"/>
              <w:rPr>
                <w:rFonts w:ascii="Times New Roman" w:hAnsi="Times New Roman" w:cs="Times New Roman"/>
                <w:sz w:val="24"/>
              </w:rPr>
            </w:pPr>
            <w:r>
              <w:rPr>
                <w:rFonts w:ascii="Times New Roman" w:hAnsi="Times New Roman" w:cs="Times New Roman"/>
                <w:sz w:val="24"/>
              </w:rPr>
              <w:t xml:space="preserve">Has septum </w:t>
            </w:r>
          </w:p>
        </w:tc>
      </w:tr>
      <w:tr w:rsidR="001837DE" w:rsidTr="0039707B">
        <w:tc>
          <w:tcPr>
            <w:tcW w:w="993" w:type="dxa"/>
            <w:tcBorders>
              <w:top w:val="nil"/>
              <w:left w:val="nil"/>
              <w:bottom w:val="nil"/>
              <w:right w:val="nil"/>
            </w:tcBorders>
          </w:tcPr>
          <w:p w:rsidR="001837DE" w:rsidRDefault="001837DE" w:rsidP="0039707B">
            <w:pPr>
              <w:pStyle w:val="ListParagraph"/>
              <w:tabs>
                <w:tab w:val="left" w:pos="2977"/>
              </w:tabs>
              <w:spacing w:after="240"/>
              <w:ind w:left="0"/>
              <w:jc w:val="center"/>
              <w:rPr>
                <w:rFonts w:ascii="Times New Roman" w:hAnsi="Times New Roman" w:cs="Times New Roman"/>
                <w:sz w:val="24"/>
              </w:rPr>
            </w:pPr>
            <w:r>
              <w:rPr>
                <w:rFonts w:ascii="Times New Roman" w:hAnsi="Times New Roman" w:cs="Times New Roman"/>
                <w:sz w:val="24"/>
              </w:rPr>
              <w:t>3.</w:t>
            </w:r>
          </w:p>
        </w:tc>
        <w:tc>
          <w:tcPr>
            <w:tcW w:w="1746" w:type="dxa"/>
            <w:tcBorders>
              <w:top w:val="nil"/>
              <w:left w:val="nil"/>
              <w:bottom w:val="nil"/>
              <w:right w:val="nil"/>
            </w:tcBorders>
          </w:tcPr>
          <w:p w:rsidR="001837DE" w:rsidRDefault="001837DE" w:rsidP="0039707B">
            <w:pPr>
              <w:pStyle w:val="ListParagraph"/>
              <w:tabs>
                <w:tab w:val="left" w:pos="2977"/>
              </w:tabs>
              <w:spacing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Y1b</w:t>
            </w:r>
          </w:p>
        </w:tc>
        <w:tc>
          <w:tcPr>
            <w:tcW w:w="3215" w:type="dxa"/>
            <w:tcBorders>
              <w:top w:val="nil"/>
              <w:left w:val="nil"/>
              <w:bottom w:val="nil"/>
              <w:right w:val="nil"/>
            </w:tcBorders>
          </w:tcPr>
          <w:p w:rsidR="001837DE" w:rsidRPr="001837DE" w:rsidRDefault="001837DE" w:rsidP="001837DE">
            <w:pPr>
              <w:jc w:val="center"/>
              <w:rPr>
                <w:rFonts w:ascii="Times New Roman" w:hAnsi="Times New Roman" w:cs="Times New Roman"/>
                <w:sz w:val="24"/>
                <w:szCs w:val="24"/>
              </w:rPr>
            </w:pPr>
            <w:r w:rsidRPr="001837DE">
              <w:rPr>
                <w:rFonts w:ascii="Times New Roman" w:hAnsi="Times New Roman" w:cs="Times New Roman"/>
                <w:sz w:val="24"/>
                <w:szCs w:val="24"/>
              </w:rPr>
              <w:t>Round yellowish green</w:t>
            </w:r>
          </w:p>
        </w:tc>
        <w:tc>
          <w:tcPr>
            <w:tcW w:w="2410" w:type="dxa"/>
            <w:tcBorders>
              <w:top w:val="nil"/>
              <w:left w:val="nil"/>
              <w:bottom w:val="nil"/>
              <w:right w:val="nil"/>
            </w:tcBorders>
          </w:tcPr>
          <w:p w:rsidR="001837DE" w:rsidRDefault="00F2328A" w:rsidP="0039707B">
            <w:pPr>
              <w:pStyle w:val="ListParagraph"/>
              <w:tabs>
                <w:tab w:val="left" w:pos="2977"/>
              </w:tabs>
              <w:spacing w:before="60" w:afterLines="60" w:after="144"/>
              <w:ind w:left="0"/>
              <w:contextualSpacing w:val="0"/>
              <w:jc w:val="center"/>
              <w:rPr>
                <w:rFonts w:ascii="Times New Roman" w:hAnsi="Times New Roman" w:cs="Times New Roman"/>
                <w:sz w:val="24"/>
              </w:rPr>
            </w:pPr>
            <w:r>
              <w:rPr>
                <w:rFonts w:ascii="Times New Roman" w:hAnsi="Times New Roman" w:cs="Times New Roman"/>
                <w:sz w:val="24"/>
              </w:rPr>
              <w:t>Has septum</w:t>
            </w:r>
          </w:p>
        </w:tc>
      </w:tr>
      <w:tr w:rsidR="001837DE" w:rsidTr="0039707B">
        <w:tc>
          <w:tcPr>
            <w:tcW w:w="993" w:type="dxa"/>
            <w:tcBorders>
              <w:top w:val="nil"/>
              <w:left w:val="nil"/>
              <w:bottom w:val="single" w:sz="4" w:space="0" w:color="auto"/>
              <w:right w:val="nil"/>
            </w:tcBorders>
          </w:tcPr>
          <w:p w:rsidR="001837DE" w:rsidRDefault="001837DE" w:rsidP="0039707B">
            <w:pPr>
              <w:pStyle w:val="ListParagraph"/>
              <w:tabs>
                <w:tab w:val="left" w:pos="2977"/>
              </w:tabs>
              <w:spacing w:after="240"/>
              <w:ind w:left="0"/>
              <w:jc w:val="center"/>
              <w:rPr>
                <w:rFonts w:ascii="Times New Roman" w:hAnsi="Times New Roman" w:cs="Times New Roman"/>
                <w:sz w:val="24"/>
              </w:rPr>
            </w:pPr>
            <w:r>
              <w:rPr>
                <w:rFonts w:ascii="Times New Roman" w:hAnsi="Times New Roman" w:cs="Times New Roman"/>
                <w:sz w:val="24"/>
              </w:rPr>
              <w:t>4.</w:t>
            </w:r>
          </w:p>
        </w:tc>
        <w:tc>
          <w:tcPr>
            <w:tcW w:w="1746" w:type="dxa"/>
            <w:tcBorders>
              <w:top w:val="nil"/>
              <w:left w:val="nil"/>
              <w:bottom w:val="single" w:sz="4" w:space="0" w:color="auto"/>
              <w:right w:val="nil"/>
            </w:tcBorders>
          </w:tcPr>
          <w:p w:rsidR="001837DE" w:rsidRDefault="001837DE" w:rsidP="0039707B">
            <w:pPr>
              <w:pStyle w:val="ListParagraph"/>
              <w:tabs>
                <w:tab w:val="left" w:pos="2977"/>
              </w:tabs>
              <w:spacing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H2a</w:t>
            </w:r>
          </w:p>
        </w:tc>
        <w:tc>
          <w:tcPr>
            <w:tcW w:w="3215" w:type="dxa"/>
            <w:tcBorders>
              <w:top w:val="nil"/>
              <w:left w:val="nil"/>
              <w:bottom w:val="single" w:sz="4" w:space="0" w:color="auto"/>
              <w:right w:val="nil"/>
            </w:tcBorders>
          </w:tcPr>
          <w:p w:rsidR="001837DE" w:rsidRPr="001837DE" w:rsidRDefault="001837DE" w:rsidP="001837DE">
            <w:pPr>
              <w:jc w:val="center"/>
              <w:rPr>
                <w:rFonts w:ascii="Times New Roman" w:hAnsi="Times New Roman" w:cs="Times New Roman"/>
                <w:sz w:val="24"/>
                <w:szCs w:val="24"/>
              </w:rPr>
            </w:pPr>
            <w:r w:rsidRPr="001837DE">
              <w:rPr>
                <w:rFonts w:ascii="Times New Roman" w:hAnsi="Times New Roman" w:cs="Times New Roman"/>
                <w:sz w:val="24"/>
                <w:szCs w:val="24"/>
              </w:rPr>
              <w:t>Round green</w:t>
            </w:r>
          </w:p>
        </w:tc>
        <w:tc>
          <w:tcPr>
            <w:tcW w:w="2410" w:type="dxa"/>
            <w:tcBorders>
              <w:top w:val="nil"/>
              <w:left w:val="nil"/>
              <w:bottom w:val="single" w:sz="4" w:space="0" w:color="auto"/>
              <w:right w:val="nil"/>
            </w:tcBorders>
          </w:tcPr>
          <w:p w:rsidR="001837DE" w:rsidRDefault="00F2328A" w:rsidP="0039707B">
            <w:pPr>
              <w:pStyle w:val="ListParagraph"/>
              <w:tabs>
                <w:tab w:val="left" w:pos="2977"/>
              </w:tabs>
              <w:spacing w:before="60" w:afterLines="60" w:after="144"/>
              <w:ind w:left="0"/>
              <w:contextualSpacing w:val="0"/>
              <w:jc w:val="center"/>
              <w:rPr>
                <w:rFonts w:ascii="Times New Roman" w:hAnsi="Times New Roman" w:cs="Times New Roman"/>
                <w:sz w:val="24"/>
              </w:rPr>
            </w:pPr>
            <w:r>
              <w:rPr>
                <w:rFonts w:ascii="Times New Roman" w:hAnsi="Times New Roman" w:cs="Times New Roman"/>
                <w:sz w:val="24"/>
              </w:rPr>
              <w:t>Has septum</w:t>
            </w:r>
          </w:p>
        </w:tc>
      </w:tr>
    </w:tbl>
    <w:p w:rsidR="001837DE" w:rsidRDefault="001837DE" w:rsidP="00C72455">
      <w:pPr>
        <w:tabs>
          <w:tab w:val="left" w:pos="2977"/>
        </w:tabs>
        <w:spacing w:after="0" w:line="480" w:lineRule="auto"/>
        <w:jc w:val="both"/>
        <w:rPr>
          <w:rFonts w:ascii="Times New Roman" w:hAnsi="Times New Roman" w:cs="Times New Roman"/>
          <w:sz w:val="24"/>
        </w:rPr>
      </w:pPr>
      <w:r w:rsidRPr="001837DE">
        <w:rPr>
          <w:rFonts w:ascii="Times New Roman" w:hAnsi="Times New Roman" w:cs="Times New Roman"/>
          <w:sz w:val="24"/>
        </w:rPr>
        <w:t>Source: Primary Data</w:t>
      </w:r>
    </w:p>
    <w:p w:rsidR="00C72455" w:rsidRDefault="00C72455" w:rsidP="00C72455">
      <w:pPr>
        <w:tabs>
          <w:tab w:val="left" w:pos="2977"/>
        </w:tabs>
        <w:spacing w:after="0" w:line="480" w:lineRule="auto"/>
        <w:jc w:val="both"/>
        <w:rPr>
          <w:rFonts w:ascii="Times New Roman" w:hAnsi="Times New Roman" w:cs="Times New Roman"/>
          <w:b/>
          <w:sz w:val="24"/>
        </w:rPr>
      </w:pPr>
      <w:r w:rsidRPr="00C72455">
        <w:rPr>
          <w:rFonts w:ascii="Times New Roman" w:hAnsi="Times New Roman" w:cs="Times New Roman"/>
          <w:b/>
          <w:sz w:val="24"/>
        </w:rPr>
        <w:t>Physiological Identification of Fungal Colonies</w:t>
      </w:r>
    </w:p>
    <w:p w:rsidR="00C72455" w:rsidRPr="00A31491" w:rsidRDefault="00C72455" w:rsidP="00C72455">
      <w:pPr>
        <w:tabs>
          <w:tab w:val="left" w:pos="2977"/>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Table</w:t>
      </w:r>
      <w:r w:rsidRPr="00A31491">
        <w:rPr>
          <w:rFonts w:ascii="Times New Roman" w:hAnsi="Times New Roman" w:cs="Times New Roman"/>
          <w:b/>
          <w:sz w:val="24"/>
          <w:szCs w:val="24"/>
        </w:rPr>
        <w:t xml:space="preserve"> </w:t>
      </w:r>
      <w:r w:rsidR="009A0124">
        <w:rPr>
          <w:rFonts w:ascii="Times New Roman" w:hAnsi="Times New Roman" w:cs="Times New Roman"/>
          <w:b/>
          <w:sz w:val="24"/>
          <w:szCs w:val="24"/>
        </w:rPr>
        <w:t>4</w:t>
      </w:r>
      <w:r w:rsidRPr="00A31491">
        <w:rPr>
          <w:rFonts w:ascii="Times New Roman" w:hAnsi="Times New Roman" w:cs="Times New Roman"/>
          <w:b/>
          <w:sz w:val="24"/>
          <w:szCs w:val="24"/>
        </w:rPr>
        <w:t xml:space="preserve">. </w:t>
      </w:r>
      <w:r w:rsidRPr="00C72455">
        <w:rPr>
          <w:rFonts w:ascii="Times New Roman" w:hAnsi="Times New Roman" w:cs="Times New Roman"/>
          <w:sz w:val="24"/>
          <w:szCs w:val="24"/>
        </w:rPr>
        <w:t>Identification Results of Fungal Isolates at Different Temperature and pH</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1506"/>
        <w:gridCol w:w="947"/>
        <w:gridCol w:w="948"/>
        <w:gridCol w:w="1135"/>
        <w:gridCol w:w="992"/>
        <w:gridCol w:w="992"/>
        <w:gridCol w:w="1134"/>
      </w:tblGrid>
      <w:tr w:rsidR="00C72455" w:rsidTr="00141F43">
        <w:tc>
          <w:tcPr>
            <w:tcW w:w="851" w:type="dxa"/>
            <w:vMerge w:val="restart"/>
            <w:tcBorders>
              <w:top w:val="single" w:sz="4" w:space="0" w:color="auto"/>
            </w:tcBorders>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No.</w:t>
            </w:r>
          </w:p>
        </w:tc>
        <w:tc>
          <w:tcPr>
            <w:tcW w:w="1506" w:type="dxa"/>
            <w:vMerge w:val="restart"/>
            <w:tcBorders>
              <w:top w:val="single" w:sz="4" w:space="0" w:color="auto"/>
            </w:tcBorders>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sidRPr="00C72455">
              <w:rPr>
                <w:rFonts w:ascii="Times New Roman" w:hAnsi="Times New Roman" w:cs="Times New Roman"/>
                <w:sz w:val="24"/>
                <w:szCs w:val="24"/>
              </w:rPr>
              <w:t>Isolate Code</w:t>
            </w:r>
          </w:p>
        </w:tc>
        <w:tc>
          <w:tcPr>
            <w:tcW w:w="3030" w:type="dxa"/>
            <w:gridSpan w:val="3"/>
            <w:tcBorders>
              <w:top w:val="single" w:sz="4" w:space="0" w:color="auto"/>
              <w:bottom w:val="single" w:sz="4" w:space="0" w:color="auto"/>
            </w:tcBorders>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sidRPr="00C72455">
              <w:rPr>
                <w:rFonts w:ascii="Times New Roman" w:hAnsi="Times New Roman" w:cs="Times New Roman"/>
                <w:sz w:val="24"/>
                <w:szCs w:val="24"/>
              </w:rPr>
              <w:t>Temperature</w:t>
            </w:r>
          </w:p>
        </w:tc>
        <w:tc>
          <w:tcPr>
            <w:tcW w:w="3118" w:type="dxa"/>
            <w:gridSpan w:val="3"/>
            <w:tcBorders>
              <w:top w:val="single" w:sz="4" w:space="0" w:color="auto"/>
              <w:bottom w:val="single" w:sz="4" w:space="0" w:color="auto"/>
            </w:tcBorders>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pH</w:t>
            </w:r>
          </w:p>
        </w:tc>
      </w:tr>
      <w:tr w:rsidR="00C72455" w:rsidTr="00141F43">
        <w:tc>
          <w:tcPr>
            <w:tcW w:w="851" w:type="dxa"/>
            <w:vMerge/>
            <w:tcBorders>
              <w:bottom w:val="single" w:sz="4" w:space="0" w:color="auto"/>
            </w:tcBorders>
          </w:tcPr>
          <w:p w:rsidR="00C72455" w:rsidRDefault="00C72455" w:rsidP="00141F43">
            <w:pPr>
              <w:pStyle w:val="ListParagraph"/>
              <w:tabs>
                <w:tab w:val="left" w:pos="2977"/>
              </w:tabs>
              <w:spacing w:after="240" w:line="360" w:lineRule="auto"/>
              <w:ind w:left="0"/>
              <w:jc w:val="center"/>
              <w:rPr>
                <w:rFonts w:ascii="Times New Roman" w:hAnsi="Times New Roman" w:cs="Times New Roman"/>
                <w:sz w:val="24"/>
                <w:szCs w:val="24"/>
              </w:rPr>
            </w:pPr>
          </w:p>
        </w:tc>
        <w:tc>
          <w:tcPr>
            <w:tcW w:w="1506" w:type="dxa"/>
            <w:vMerge/>
            <w:tcBorders>
              <w:bottom w:val="single" w:sz="4" w:space="0" w:color="auto"/>
            </w:tcBorders>
          </w:tcPr>
          <w:p w:rsidR="00C72455" w:rsidRDefault="00C72455" w:rsidP="00141F43">
            <w:pPr>
              <w:pStyle w:val="ListParagraph"/>
              <w:tabs>
                <w:tab w:val="left" w:pos="2977"/>
              </w:tabs>
              <w:spacing w:after="240" w:line="360" w:lineRule="auto"/>
              <w:ind w:left="0"/>
              <w:jc w:val="center"/>
              <w:rPr>
                <w:rFonts w:ascii="Times New Roman" w:hAnsi="Times New Roman" w:cs="Times New Roman"/>
                <w:sz w:val="24"/>
                <w:szCs w:val="24"/>
              </w:rPr>
            </w:pPr>
          </w:p>
        </w:tc>
        <w:tc>
          <w:tcPr>
            <w:tcW w:w="947" w:type="dxa"/>
            <w:tcBorders>
              <w:top w:val="single" w:sz="4" w:space="0" w:color="auto"/>
              <w:bottom w:val="single" w:sz="4" w:space="0" w:color="auto"/>
            </w:tcBorders>
          </w:tcPr>
          <w:p w:rsidR="00C72455" w:rsidRPr="006443D1"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4</w:t>
            </w:r>
            <w:r>
              <w:rPr>
                <w:rFonts w:ascii="Calibri" w:hAnsi="Calibri" w:cs="Calibri"/>
                <w:sz w:val="24"/>
                <w:szCs w:val="24"/>
                <w:vertAlign w:val="superscript"/>
              </w:rPr>
              <w:t>0</w:t>
            </w:r>
            <w:r>
              <w:rPr>
                <w:rFonts w:ascii="Calibri" w:hAnsi="Calibri" w:cs="Calibri"/>
                <w:sz w:val="24"/>
                <w:szCs w:val="24"/>
              </w:rPr>
              <w:t>C</w:t>
            </w:r>
          </w:p>
        </w:tc>
        <w:tc>
          <w:tcPr>
            <w:tcW w:w="948" w:type="dxa"/>
            <w:tcBorders>
              <w:top w:val="single" w:sz="4" w:space="0" w:color="auto"/>
              <w:bottom w:val="single" w:sz="4" w:space="0" w:color="auto"/>
            </w:tcBorders>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28</w:t>
            </w:r>
            <w:r>
              <w:rPr>
                <w:rFonts w:ascii="Calibri" w:hAnsi="Calibri" w:cs="Calibri"/>
                <w:sz w:val="24"/>
                <w:szCs w:val="24"/>
                <w:vertAlign w:val="superscript"/>
              </w:rPr>
              <w:t>0</w:t>
            </w:r>
            <w:r>
              <w:rPr>
                <w:rFonts w:ascii="Calibri" w:hAnsi="Calibri" w:cs="Calibri"/>
                <w:sz w:val="24"/>
                <w:szCs w:val="24"/>
              </w:rPr>
              <w:t>C</w:t>
            </w:r>
          </w:p>
        </w:tc>
        <w:tc>
          <w:tcPr>
            <w:tcW w:w="1135" w:type="dxa"/>
            <w:tcBorders>
              <w:top w:val="single" w:sz="4" w:space="0" w:color="auto"/>
              <w:bottom w:val="single" w:sz="4" w:space="0" w:color="auto"/>
            </w:tcBorders>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40</w:t>
            </w:r>
            <w:r>
              <w:rPr>
                <w:rFonts w:ascii="Calibri" w:hAnsi="Calibri" w:cs="Calibri"/>
                <w:sz w:val="24"/>
                <w:szCs w:val="24"/>
                <w:vertAlign w:val="superscript"/>
              </w:rPr>
              <w:t>0</w:t>
            </w:r>
            <w:r>
              <w:rPr>
                <w:rFonts w:ascii="Calibri" w:hAnsi="Calibri" w:cs="Calibri"/>
                <w:sz w:val="24"/>
                <w:szCs w:val="24"/>
              </w:rPr>
              <w:t>C</w:t>
            </w:r>
          </w:p>
        </w:tc>
        <w:tc>
          <w:tcPr>
            <w:tcW w:w="992" w:type="dxa"/>
            <w:tcBorders>
              <w:top w:val="single" w:sz="4" w:space="0" w:color="auto"/>
              <w:bottom w:val="single" w:sz="4" w:space="0" w:color="auto"/>
            </w:tcBorders>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tcBorders>
              <w:top w:val="single" w:sz="4" w:space="0" w:color="auto"/>
              <w:bottom w:val="single" w:sz="4" w:space="0" w:color="auto"/>
            </w:tcBorders>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Borders>
              <w:top w:val="single" w:sz="4" w:space="0" w:color="auto"/>
              <w:bottom w:val="single" w:sz="4" w:space="0" w:color="auto"/>
            </w:tcBorders>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9</w:t>
            </w:r>
          </w:p>
        </w:tc>
      </w:tr>
      <w:tr w:rsidR="00C72455" w:rsidTr="00141F43">
        <w:tc>
          <w:tcPr>
            <w:tcW w:w="851" w:type="dxa"/>
            <w:tcBorders>
              <w:top w:val="single" w:sz="4" w:space="0" w:color="auto"/>
            </w:tcBorders>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w:t>
            </w:r>
          </w:p>
        </w:tc>
        <w:tc>
          <w:tcPr>
            <w:tcW w:w="1506" w:type="dxa"/>
            <w:tcBorders>
              <w:top w:val="single" w:sz="4" w:space="0" w:color="auto"/>
            </w:tcBorders>
          </w:tcPr>
          <w:p w:rsidR="00C72455" w:rsidRDefault="00C72455" w:rsidP="00141F43">
            <w:pPr>
              <w:pStyle w:val="ListParagraph"/>
              <w:tabs>
                <w:tab w:val="left" w:pos="2977"/>
              </w:tabs>
              <w:spacing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A1</w:t>
            </w:r>
          </w:p>
        </w:tc>
        <w:tc>
          <w:tcPr>
            <w:tcW w:w="947" w:type="dxa"/>
            <w:tcBorders>
              <w:top w:val="single" w:sz="4" w:space="0" w:color="auto"/>
            </w:tcBorders>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948" w:type="dxa"/>
            <w:tcBorders>
              <w:top w:val="single" w:sz="4" w:space="0" w:color="auto"/>
            </w:tcBorders>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1135" w:type="dxa"/>
            <w:tcBorders>
              <w:top w:val="single" w:sz="4" w:space="0" w:color="auto"/>
            </w:tcBorders>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tcBorders>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tcBorders>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tcBorders>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r>
      <w:tr w:rsidR="00C72455" w:rsidTr="00141F43">
        <w:tc>
          <w:tcPr>
            <w:tcW w:w="851" w:type="dxa"/>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w:t>
            </w:r>
          </w:p>
        </w:tc>
        <w:tc>
          <w:tcPr>
            <w:tcW w:w="1506" w:type="dxa"/>
          </w:tcPr>
          <w:p w:rsidR="00C72455" w:rsidRDefault="00C72455" w:rsidP="00141F43">
            <w:pPr>
              <w:pStyle w:val="ListParagraph"/>
              <w:tabs>
                <w:tab w:val="left" w:pos="2977"/>
              </w:tabs>
              <w:spacing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S2b(2)</w:t>
            </w:r>
          </w:p>
        </w:tc>
        <w:tc>
          <w:tcPr>
            <w:tcW w:w="947" w:type="dxa"/>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948" w:type="dxa"/>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1135" w:type="dxa"/>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r>
      <w:tr w:rsidR="00C72455" w:rsidTr="00141F43">
        <w:tc>
          <w:tcPr>
            <w:tcW w:w="851" w:type="dxa"/>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w:t>
            </w:r>
          </w:p>
        </w:tc>
        <w:tc>
          <w:tcPr>
            <w:tcW w:w="1506" w:type="dxa"/>
          </w:tcPr>
          <w:p w:rsidR="00C72455" w:rsidRDefault="00C72455" w:rsidP="00141F43">
            <w:pPr>
              <w:pStyle w:val="ListParagraph"/>
              <w:tabs>
                <w:tab w:val="left" w:pos="2977"/>
              </w:tabs>
              <w:spacing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Y1b</w:t>
            </w:r>
          </w:p>
        </w:tc>
        <w:tc>
          <w:tcPr>
            <w:tcW w:w="947" w:type="dxa"/>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948" w:type="dxa"/>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1135" w:type="dxa"/>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r>
      <w:tr w:rsidR="00C72455" w:rsidTr="00141F43">
        <w:tc>
          <w:tcPr>
            <w:tcW w:w="851" w:type="dxa"/>
            <w:tcBorders>
              <w:bottom w:val="single" w:sz="4" w:space="0" w:color="auto"/>
            </w:tcBorders>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4.</w:t>
            </w:r>
          </w:p>
        </w:tc>
        <w:tc>
          <w:tcPr>
            <w:tcW w:w="1506" w:type="dxa"/>
            <w:tcBorders>
              <w:bottom w:val="single" w:sz="4" w:space="0" w:color="auto"/>
            </w:tcBorders>
          </w:tcPr>
          <w:p w:rsidR="00C72455" w:rsidRDefault="00C72455" w:rsidP="00141F43">
            <w:pPr>
              <w:pStyle w:val="ListParagraph"/>
              <w:tabs>
                <w:tab w:val="left" w:pos="2977"/>
              </w:tabs>
              <w:spacing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H2a</w:t>
            </w:r>
          </w:p>
        </w:tc>
        <w:tc>
          <w:tcPr>
            <w:tcW w:w="947" w:type="dxa"/>
            <w:tcBorders>
              <w:bottom w:val="single" w:sz="4" w:space="0" w:color="auto"/>
            </w:tcBorders>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948" w:type="dxa"/>
            <w:tcBorders>
              <w:bottom w:val="single" w:sz="4" w:space="0" w:color="auto"/>
            </w:tcBorders>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1135" w:type="dxa"/>
            <w:tcBorders>
              <w:bottom w:val="single" w:sz="4" w:space="0" w:color="auto"/>
            </w:tcBorders>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bottom w:val="single" w:sz="4" w:space="0" w:color="auto"/>
            </w:tcBorders>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bottom w:val="single" w:sz="4" w:space="0" w:color="auto"/>
            </w:tcBorders>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bottom w:val="single" w:sz="4" w:space="0" w:color="auto"/>
            </w:tcBorders>
          </w:tcPr>
          <w:p w:rsidR="00C72455" w:rsidRDefault="00C72455" w:rsidP="00141F43">
            <w:pPr>
              <w:pStyle w:val="ListParagraph"/>
              <w:tabs>
                <w:tab w:val="left" w:pos="2977"/>
              </w:tab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r>
    </w:tbl>
    <w:p w:rsidR="00C72455" w:rsidRDefault="00C72455" w:rsidP="00C72455">
      <w:pPr>
        <w:tabs>
          <w:tab w:val="left" w:pos="2977"/>
        </w:tabs>
        <w:spacing w:after="0" w:line="240" w:lineRule="auto"/>
        <w:jc w:val="both"/>
        <w:rPr>
          <w:rFonts w:ascii="Times New Roman" w:hAnsi="Times New Roman" w:cs="Times New Roman"/>
          <w:sz w:val="24"/>
          <w:szCs w:val="24"/>
        </w:rPr>
      </w:pPr>
      <w:r w:rsidRPr="00C72455">
        <w:rPr>
          <w:rFonts w:ascii="Times New Roman" w:hAnsi="Times New Roman" w:cs="Times New Roman"/>
          <w:sz w:val="24"/>
          <w:szCs w:val="24"/>
        </w:rPr>
        <w:t>Source: Primary Data</w:t>
      </w:r>
    </w:p>
    <w:p w:rsidR="00C72455" w:rsidRDefault="00C72455" w:rsidP="00C724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Description: (</w:t>
      </w:r>
      <w:r w:rsidRPr="00C72455">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sz w:val="24"/>
          <w:szCs w:val="24"/>
        </w:rPr>
        <w:t xml:space="preserve"> sign can grow</w:t>
      </w:r>
    </w:p>
    <w:p w:rsidR="004B2BF0" w:rsidRDefault="00C72455" w:rsidP="00C72455">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w:t>
      </w:r>
      <w:r w:rsidRPr="00C72455">
        <w:rPr>
          <w:rFonts w:ascii="Times New Roman" w:hAnsi="Times New Roman" w:cs="Times New Roman"/>
          <w:sz w:val="24"/>
          <w:szCs w:val="24"/>
        </w:rPr>
        <w:t>-</w:t>
      </w:r>
      <w:r>
        <w:rPr>
          <w:rFonts w:ascii="Times New Roman" w:hAnsi="Times New Roman" w:cs="Times New Roman"/>
          <w:sz w:val="24"/>
          <w:szCs w:val="24"/>
        </w:rPr>
        <w:t>)</w:t>
      </w:r>
      <w:r w:rsidRPr="00C72455">
        <w:rPr>
          <w:rFonts w:ascii="Times New Roman" w:hAnsi="Times New Roman" w:cs="Times New Roman"/>
          <w:sz w:val="24"/>
          <w:szCs w:val="24"/>
        </w:rPr>
        <w:t xml:space="preserve"> </w:t>
      </w:r>
      <w:r>
        <w:rPr>
          <w:rFonts w:ascii="Times New Roman" w:hAnsi="Times New Roman" w:cs="Times New Roman"/>
          <w:sz w:val="24"/>
          <w:szCs w:val="24"/>
        </w:rPr>
        <w:t xml:space="preserve">sign </w:t>
      </w:r>
      <w:r w:rsidRPr="00C72455">
        <w:rPr>
          <w:rFonts w:ascii="Times New Roman" w:hAnsi="Times New Roman" w:cs="Times New Roman"/>
          <w:sz w:val="24"/>
          <w:szCs w:val="24"/>
        </w:rPr>
        <w:t>cannot grow</w:t>
      </w:r>
    </w:p>
    <w:p w:rsidR="008F4A5A" w:rsidRDefault="00AF6531" w:rsidP="009A0124">
      <w:pPr>
        <w:spacing w:after="0" w:line="480" w:lineRule="auto"/>
        <w:ind w:firstLine="567"/>
        <w:jc w:val="both"/>
        <w:rPr>
          <w:rFonts w:ascii="Times New Roman" w:hAnsi="Times New Roman" w:cs="Times New Roman"/>
          <w:sz w:val="24"/>
          <w:szCs w:val="24"/>
        </w:rPr>
      </w:pPr>
      <w:r w:rsidRPr="00AF6531">
        <w:rPr>
          <w:rFonts w:ascii="Times New Roman" w:hAnsi="Times New Roman" w:cs="Times New Roman"/>
          <w:sz w:val="24"/>
          <w:szCs w:val="24"/>
        </w:rPr>
        <w:lastRenderedPageBreak/>
        <w:t>According to the identification results of fungal physiology in Table 4, it can be seen that the fungal isolates foun</w:t>
      </w:r>
      <w:r w:rsidR="000A1EE2">
        <w:rPr>
          <w:rFonts w:ascii="Times New Roman" w:hAnsi="Times New Roman" w:cs="Times New Roman"/>
          <w:sz w:val="24"/>
          <w:szCs w:val="24"/>
        </w:rPr>
        <w:t>d can grow in all pH conditions</w:t>
      </w:r>
      <w:r w:rsidR="00C72455" w:rsidRPr="00C72455">
        <w:rPr>
          <w:rFonts w:ascii="Times New Roman" w:hAnsi="Times New Roman" w:cs="Times New Roman"/>
          <w:sz w:val="24"/>
          <w:szCs w:val="24"/>
        </w:rPr>
        <w:t>, but are only able to grow i</w:t>
      </w:r>
      <w:r w:rsidR="00C72455">
        <w:rPr>
          <w:rFonts w:ascii="Times New Roman" w:hAnsi="Times New Roman" w:cs="Times New Roman"/>
          <w:sz w:val="24"/>
          <w:szCs w:val="24"/>
        </w:rPr>
        <w:t>n temperature conditions of 28</w:t>
      </w:r>
      <w:r w:rsidR="00C72455">
        <w:rPr>
          <w:rFonts w:ascii="Times New Roman" w:hAnsi="Times New Roman" w:cs="Times New Roman"/>
          <w:sz w:val="24"/>
          <w:szCs w:val="24"/>
          <w:vertAlign w:val="superscript"/>
        </w:rPr>
        <w:t>0</w:t>
      </w:r>
      <w:r w:rsidR="00C72455">
        <w:rPr>
          <w:rFonts w:ascii="Times New Roman" w:hAnsi="Times New Roman" w:cs="Times New Roman"/>
          <w:sz w:val="24"/>
          <w:szCs w:val="24"/>
        </w:rPr>
        <w:t>C and 40</w:t>
      </w:r>
      <w:r w:rsidR="00C72455">
        <w:rPr>
          <w:rFonts w:ascii="Times New Roman" w:hAnsi="Times New Roman" w:cs="Times New Roman"/>
          <w:sz w:val="24"/>
          <w:szCs w:val="24"/>
          <w:vertAlign w:val="superscript"/>
        </w:rPr>
        <w:t>0</w:t>
      </w:r>
      <w:r w:rsidR="008F4A5A">
        <w:rPr>
          <w:rFonts w:ascii="Times New Roman" w:hAnsi="Times New Roman" w:cs="Times New Roman"/>
          <w:sz w:val="24"/>
          <w:szCs w:val="24"/>
        </w:rPr>
        <w:t>C.</w:t>
      </w:r>
    </w:p>
    <w:p w:rsidR="00C72455" w:rsidRDefault="006D5505" w:rsidP="006D5505">
      <w:pPr>
        <w:spacing w:after="0" w:line="240" w:lineRule="auto"/>
        <w:rPr>
          <w:rFonts w:ascii="Times New Roman" w:hAnsi="Times New Roman" w:cs="Times New Roman"/>
          <w:sz w:val="24"/>
        </w:rPr>
      </w:pPr>
      <w:r w:rsidRPr="006D5505">
        <w:rPr>
          <w:rFonts w:ascii="Times New Roman" w:hAnsi="Times New Roman" w:cs="Times New Roman"/>
          <w:b/>
          <w:sz w:val="24"/>
          <w:szCs w:val="24"/>
        </w:rPr>
        <w:t>Molecular Identification of Fungal Colonies</w:t>
      </w:r>
      <w:r w:rsidR="00C72455">
        <w:rPr>
          <w:rFonts w:ascii="Times New Roman" w:hAnsi="Times New Roman" w:cs="Times New Roman"/>
          <w:noProof/>
          <w:sz w:val="24"/>
        </w:rPr>
        <w:drawing>
          <wp:inline distT="0" distB="0" distL="0" distR="0" wp14:anchorId="50C890BE" wp14:editId="39659992">
            <wp:extent cx="3467726" cy="176635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782).png"/>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3518411" cy="1792176"/>
                    </a:xfrm>
                    <a:prstGeom prst="rect">
                      <a:avLst/>
                    </a:prstGeom>
                    <a:ln>
                      <a:noFill/>
                    </a:ln>
                    <a:extLst>
                      <a:ext uri="{53640926-AAD7-44D8-BBD7-CCE9431645EC}">
                        <a14:shadowObscured xmlns:a14="http://schemas.microsoft.com/office/drawing/2010/main"/>
                      </a:ext>
                    </a:extLst>
                  </pic:spPr>
                </pic:pic>
              </a:graphicData>
            </a:graphic>
          </wp:inline>
        </w:drawing>
      </w:r>
    </w:p>
    <w:p w:rsidR="00C72455" w:rsidRPr="009A6016" w:rsidRDefault="006D5505" w:rsidP="00C72455">
      <w:pPr>
        <w:spacing w:after="0" w:line="240" w:lineRule="auto"/>
        <w:jc w:val="both"/>
        <w:rPr>
          <w:rFonts w:ascii="Times New Roman" w:hAnsi="Times New Roman" w:cs="Times New Roman"/>
          <w:sz w:val="24"/>
        </w:rPr>
      </w:pPr>
      <w:r>
        <w:rPr>
          <w:rFonts w:ascii="Times New Roman" w:hAnsi="Times New Roman" w:cs="Times New Roman"/>
          <w:b/>
          <w:sz w:val="24"/>
        </w:rPr>
        <w:t>Figure</w:t>
      </w:r>
      <w:r w:rsidR="00C72455" w:rsidRPr="009A6016">
        <w:rPr>
          <w:rFonts w:ascii="Times New Roman" w:hAnsi="Times New Roman" w:cs="Times New Roman"/>
          <w:b/>
          <w:sz w:val="24"/>
        </w:rPr>
        <w:t xml:space="preserve"> 1.</w:t>
      </w:r>
      <w:r w:rsidR="00C72455" w:rsidRPr="009A6016">
        <w:rPr>
          <w:rFonts w:ascii="Times New Roman" w:hAnsi="Times New Roman" w:cs="Times New Roman"/>
          <w:sz w:val="24"/>
        </w:rPr>
        <w:t xml:space="preserve"> </w:t>
      </w:r>
      <w:r w:rsidRPr="006D5505">
        <w:rPr>
          <w:rFonts w:ascii="Times New Roman" w:hAnsi="Times New Roman" w:cs="Times New Roman"/>
          <w:sz w:val="24"/>
        </w:rPr>
        <w:t>Amplification Results of Isolate A1</w:t>
      </w:r>
    </w:p>
    <w:p w:rsidR="006D5505" w:rsidRDefault="006D5505" w:rsidP="006D5505">
      <w:pPr>
        <w:spacing w:after="120" w:line="480" w:lineRule="auto"/>
        <w:rPr>
          <w:rFonts w:ascii="Times New Roman" w:hAnsi="Times New Roman" w:cs="Times New Roman"/>
          <w:sz w:val="24"/>
        </w:rPr>
      </w:pPr>
      <w:r w:rsidRPr="006D5505">
        <w:rPr>
          <w:rFonts w:ascii="Times New Roman" w:hAnsi="Times New Roman" w:cs="Times New Roman"/>
          <w:sz w:val="24"/>
        </w:rPr>
        <w:t>Description: Number 1 is a DNA band owned by isolate A1</w:t>
      </w:r>
    </w:p>
    <w:p w:rsidR="00C72455" w:rsidRDefault="00C72455" w:rsidP="006D5505">
      <w:pPr>
        <w:spacing w:after="120" w:line="240" w:lineRule="auto"/>
        <w:rPr>
          <w:rFonts w:ascii="Times New Roman" w:hAnsi="Times New Roman" w:cs="Times New Roman"/>
          <w:sz w:val="24"/>
        </w:rPr>
      </w:pPr>
      <w:r>
        <w:rPr>
          <w:rFonts w:ascii="Times New Roman" w:hAnsi="Times New Roman" w:cs="Times New Roman"/>
          <w:noProof/>
          <w:sz w:val="24"/>
        </w:rPr>
        <w:drawing>
          <wp:inline distT="0" distB="0" distL="0" distR="0" wp14:anchorId="09C159FF" wp14:editId="59A64AF3">
            <wp:extent cx="3483021" cy="1959428"/>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783).pn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3499095" cy="1968471"/>
                    </a:xfrm>
                    <a:prstGeom prst="rect">
                      <a:avLst/>
                    </a:prstGeom>
                    <a:ln>
                      <a:noFill/>
                    </a:ln>
                    <a:extLst>
                      <a:ext uri="{53640926-AAD7-44D8-BBD7-CCE9431645EC}">
                        <a14:shadowObscured xmlns:a14="http://schemas.microsoft.com/office/drawing/2010/main"/>
                      </a:ext>
                    </a:extLst>
                  </pic:spPr>
                </pic:pic>
              </a:graphicData>
            </a:graphic>
          </wp:inline>
        </w:drawing>
      </w:r>
    </w:p>
    <w:p w:rsidR="00C72455" w:rsidRPr="009A6016" w:rsidRDefault="006D5505" w:rsidP="00C72455">
      <w:pPr>
        <w:spacing w:after="0" w:line="240" w:lineRule="auto"/>
        <w:rPr>
          <w:rFonts w:ascii="Times New Roman" w:hAnsi="Times New Roman" w:cs="Times New Roman"/>
          <w:sz w:val="24"/>
        </w:rPr>
      </w:pPr>
      <w:r>
        <w:rPr>
          <w:rFonts w:ascii="Times New Roman" w:hAnsi="Times New Roman" w:cs="Times New Roman"/>
          <w:b/>
          <w:sz w:val="24"/>
        </w:rPr>
        <w:t>Figure</w:t>
      </w:r>
      <w:r w:rsidR="00C72455" w:rsidRPr="009A6016">
        <w:rPr>
          <w:rFonts w:ascii="Times New Roman" w:hAnsi="Times New Roman" w:cs="Times New Roman"/>
          <w:b/>
          <w:sz w:val="24"/>
        </w:rPr>
        <w:t xml:space="preserve"> 2.</w:t>
      </w:r>
      <w:r w:rsidR="00C72455" w:rsidRPr="009A6016">
        <w:rPr>
          <w:rFonts w:ascii="Times New Roman" w:hAnsi="Times New Roman" w:cs="Times New Roman"/>
          <w:sz w:val="24"/>
        </w:rPr>
        <w:t xml:space="preserve"> </w:t>
      </w:r>
      <w:r w:rsidRPr="006D5505">
        <w:rPr>
          <w:rFonts w:ascii="Times New Roman" w:hAnsi="Times New Roman" w:cs="Times New Roman"/>
          <w:sz w:val="24"/>
        </w:rPr>
        <w:t>Amplification Results of Isolates S2b(2), Y1b, and H2a</w:t>
      </w:r>
    </w:p>
    <w:p w:rsidR="006D5505" w:rsidRDefault="006D5505" w:rsidP="006D5505">
      <w:pPr>
        <w:spacing w:after="0" w:line="240" w:lineRule="auto"/>
        <w:jc w:val="both"/>
        <w:rPr>
          <w:rFonts w:ascii="Times New Roman" w:hAnsi="Times New Roman" w:cs="Times New Roman"/>
          <w:sz w:val="24"/>
        </w:rPr>
      </w:pPr>
      <w:r w:rsidRPr="006D5505">
        <w:rPr>
          <w:rFonts w:ascii="Times New Roman" w:hAnsi="Times New Roman" w:cs="Times New Roman"/>
          <w:sz w:val="24"/>
        </w:rPr>
        <w:t>Description: number 2 is a DNA band belonging to isolate S2b (2), number 5 belongs to isolate Y1b, and number 7 belongs to isolate H2a.</w:t>
      </w:r>
    </w:p>
    <w:p w:rsidR="006D5505" w:rsidRDefault="006D5505" w:rsidP="006D5505">
      <w:pPr>
        <w:spacing w:after="0" w:line="240" w:lineRule="auto"/>
        <w:jc w:val="both"/>
        <w:rPr>
          <w:rFonts w:ascii="Times New Roman" w:hAnsi="Times New Roman" w:cs="Times New Roman"/>
          <w:sz w:val="24"/>
        </w:rPr>
      </w:pPr>
    </w:p>
    <w:p w:rsidR="00C72455" w:rsidRDefault="006D5505" w:rsidP="006D5505">
      <w:pPr>
        <w:spacing w:after="0" w:line="480" w:lineRule="auto"/>
        <w:jc w:val="both"/>
        <w:rPr>
          <w:rFonts w:ascii="Times New Roman" w:hAnsi="Times New Roman" w:cs="Times New Roman"/>
          <w:sz w:val="24"/>
        </w:rPr>
      </w:pPr>
      <w:r w:rsidRPr="006D5505">
        <w:rPr>
          <w:rFonts w:ascii="Times New Roman" w:hAnsi="Times New Roman" w:cs="Times New Roman"/>
          <w:sz w:val="24"/>
        </w:rPr>
        <w:t>Figure 1 and Figure 2 above show the gene amplification results of isolates A1, S2b(2), H2a, and Y1b. The letter M in the amplification results above is a marker. Figure 1 is a DNA band owned by isolate A1 with a DNA molecular weight of about 600 bp. Figure 2 is a DNA band belonging to isolates S2b (2), Y1b, and H2a with a DNA molecular weight of about 700 bp.</w:t>
      </w:r>
    </w:p>
    <w:p w:rsidR="00C72455" w:rsidRDefault="00C72455" w:rsidP="00C72455">
      <w:pPr>
        <w:spacing w:after="0" w:line="24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5B9638C6" wp14:editId="2D0CDE5F">
            <wp:extent cx="4726379" cy="24384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784).pn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4776723" cy="2464420"/>
                    </a:xfrm>
                    <a:prstGeom prst="rect">
                      <a:avLst/>
                    </a:prstGeom>
                    <a:ln>
                      <a:noFill/>
                    </a:ln>
                    <a:extLst>
                      <a:ext uri="{53640926-AAD7-44D8-BBD7-CCE9431645EC}">
                        <a14:shadowObscured xmlns:a14="http://schemas.microsoft.com/office/drawing/2010/main"/>
                      </a:ext>
                    </a:extLst>
                  </pic:spPr>
                </pic:pic>
              </a:graphicData>
            </a:graphic>
          </wp:inline>
        </w:drawing>
      </w:r>
    </w:p>
    <w:p w:rsidR="00C72455" w:rsidRDefault="006D5505" w:rsidP="00C72455">
      <w:pPr>
        <w:spacing w:after="120" w:line="360" w:lineRule="auto"/>
        <w:rPr>
          <w:rFonts w:ascii="Times New Roman" w:hAnsi="Times New Roman" w:cs="Times New Roman"/>
          <w:noProof/>
          <w:sz w:val="24"/>
        </w:rPr>
      </w:pPr>
      <w:r>
        <w:rPr>
          <w:rFonts w:ascii="Times New Roman" w:hAnsi="Times New Roman" w:cs="Times New Roman"/>
          <w:b/>
          <w:noProof/>
          <w:sz w:val="24"/>
        </w:rPr>
        <w:t>Figure</w:t>
      </w:r>
      <w:r w:rsidR="00C72455" w:rsidRPr="00FD793A">
        <w:rPr>
          <w:rFonts w:ascii="Times New Roman" w:hAnsi="Times New Roman" w:cs="Times New Roman"/>
          <w:b/>
          <w:noProof/>
          <w:sz w:val="24"/>
        </w:rPr>
        <w:t xml:space="preserve"> 3.</w:t>
      </w:r>
      <w:r w:rsidR="00C72455" w:rsidRPr="00FD793A">
        <w:rPr>
          <w:rFonts w:ascii="Times New Roman" w:hAnsi="Times New Roman" w:cs="Times New Roman"/>
          <w:noProof/>
          <w:sz w:val="24"/>
        </w:rPr>
        <w:t xml:space="preserve"> </w:t>
      </w:r>
      <w:r w:rsidRPr="006D5505">
        <w:rPr>
          <w:rFonts w:ascii="Times New Roman" w:hAnsi="Times New Roman" w:cs="Times New Roman"/>
          <w:noProof/>
          <w:sz w:val="24"/>
        </w:rPr>
        <w:t>Nitrogen Base Sequence of Isolate</w:t>
      </w:r>
      <w:r>
        <w:rPr>
          <w:rFonts w:ascii="Times New Roman" w:hAnsi="Times New Roman" w:cs="Times New Roman"/>
          <w:noProof/>
          <w:sz w:val="24"/>
        </w:rPr>
        <w:t xml:space="preserve"> A1</w:t>
      </w:r>
    </w:p>
    <w:p w:rsidR="00C72455" w:rsidRDefault="00C72455" w:rsidP="00C72455">
      <w:pPr>
        <w:spacing w:after="120" w:line="240" w:lineRule="auto"/>
        <w:rPr>
          <w:rFonts w:ascii="Times New Roman" w:hAnsi="Times New Roman" w:cs="Times New Roman"/>
          <w:noProof/>
          <w:sz w:val="24"/>
        </w:rPr>
      </w:pPr>
      <w:r>
        <w:rPr>
          <w:rFonts w:ascii="Times New Roman" w:hAnsi="Times New Roman" w:cs="Times New Roman"/>
          <w:noProof/>
          <w:sz w:val="24"/>
        </w:rPr>
        <w:drawing>
          <wp:inline distT="0" distB="0" distL="0" distR="0" wp14:anchorId="61BB9F34" wp14:editId="75D76CAC">
            <wp:extent cx="6282046" cy="3194462"/>
            <wp:effectExtent l="0" t="0" r="508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pn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6282046" cy="3194462"/>
                    </a:xfrm>
                    <a:prstGeom prst="rect">
                      <a:avLst/>
                    </a:prstGeom>
                    <a:ln>
                      <a:noFill/>
                    </a:ln>
                    <a:extLst>
                      <a:ext uri="{53640926-AAD7-44D8-BBD7-CCE9431645EC}">
                        <a14:shadowObscured xmlns:a14="http://schemas.microsoft.com/office/drawing/2010/main"/>
                      </a:ext>
                    </a:extLst>
                  </pic:spPr>
                </pic:pic>
              </a:graphicData>
            </a:graphic>
          </wp:inline>
        </w:drawing>
      </w:r>
    </w:p>
    <w:p w:rsidR="00C72455" w:rsidRDefault="006D5505" w:rsidP="00C72455">
      <w:pPr>
        <w:spacing w:after="120" w:line="360" w:lineRule="auto"/>
        <w:rPr>
          <w:rFonts w:ascii="Times New Roman" w:hAnsi="Times New Roman" w:cs="Times New Roman"/>
          <w:noProof/>
          <w:sz w:val="24"/>
        </w:rPr>
      </w:pPr>
      <w:r>
        <w:rPr>
          <w:rFonts w:ascii="Times New Roman" w:hAnsi="Times New Roman" w:cs="Times New Roman"/>
          <w:b/>
          <w:noProof/>
          <w:sz w:val="24"/>
        </w:rPr>
        <w:t>Figure</w:t>
      </w:r>
      <w:r w:rsidR="00C72455" w:rsidRPr="00FD793A">
        <w:rPr>
          <w:rFonts w:ascii="Times New Roman" w:hAnsi="Times New Roman" w:cs="Times New Roman"/>
          <w:b/>
          <w:noProof/>
          <w:sz w:val="24"/>
        </w:rPr>
        <w:t xml:space="preserve"> 4.</w:t>
      </w:r>
      <w:r w:rsidR="00C72455" w:rsidRPr="00FD793A">
        <w:rPr>
          <w:rFonts w:ascii="Times New Roman" w:hAnsi="Times New Roman" w:cs="Times New Roman"/>
          <w:noProof/>
          <w:sz w:val="24"/>
        </w:rPr>
        <w:t xml:space="preserve"> </w:t>
      </w:r>
      <w:r w:rsidRPr="006D5505">
        <w:rPr>
          <w:rFonts w:ascii="Times New Roman" w:hAnsi="Times New Roman" w:cs="Times New Roman"/>
          <w:noProof/>
          <w:sz w:val="24"/>
        </w:rPr>
        <w:t>BLAST Analysis of Isolate A1</w:t>
      </w:r>
    </w:p>
    <w:p w:rsidR="00EC4F39" w:rsidRDefault="00EC4F39" w:rsidP="00C72455">
      <w:pPr>
        <w:spacing w:after="120" w:line="360" w:lineRule="auto"/>
        <w:rPr>
          <w:rFonts w:ascii="Times New Roman" w:hAnsi="Times New Roman" w:cs="Times New Roman"/>
          <w:noProof/>
          <w:sz w:val="24"/>
        </w:rPr>
      </w:pPr>
    </w:p>
    <w:p w:rsidR="00EC4F39" w:rsidRDefault="00EC4F39" w:rsidP="00C72455">
      <w:pPr>
        <w:spacing w:after="120" w:line="360" w:lineRule="auto"/>
        <w:rPr>
          <w:rFonts w:ascii="Times New Roman" w:hAnsi="Times New Roman" w:cs="Times New Roman"/>
          <w:noProof/>
          <w:sz w:val="24"/>
        </w:rPr>
      </w:pPr>
    </w:p>
    <w:p w:rsidR="00EC4F39" w:rsidRDefault="00EC4F39" w:rsidP="00C72455">
      <w:pPr>
        <w:spacing w:after="120" w:line="360" w:lineRule="auto"/>
        <w:rPr>
          <w:rFonts w:ascii="Times New Roman" w:hAnsi="Times New Roman" w:cs="Times New Roman"/>
          <w:noProof/>
          <w:sz w:val="24"/>
        </w:rPr>
      </w:pPr>
    </w:p>
    <w:p w:rsidR="00EC4F39" w:rsidRDefault="00EC4F39" w:rsidP="00C72455">
      <w:pPr>
        <w:spacing w:after="120" w:line="360" w:lineRule="auto"/>
        <w:rPr>
          <w:rFonts w:ascii="Times New Roman" w:hAnsi="Times New Roman" w:cs="Times New Roman"/>
          <w:noProof/>
          <w:sz w:val="24"/>
        </w:rPr>
      </w:pPr>
    </w:p>
    <w:p w:rsidR="00EC4F39" w:rsidRDefault="00EC4F39" w:rsidP="00C72455">
      <w:pPr>
        <w:spacing w:after="120" w:line="360" w:lineRule="auto"/>
        <w:rPr>
          <w:rFonts w:ascii="Times New Roman" w:hAnsi="Times New Roman" w:cs="Times New Roman"/>
          <w:noProof/>
          <w:sz w:val="24"/>
        </w:rPr>
      </w:pPr>
    </w:p>
    <w:p w:rsidR="00EC4F39" w:rsidRDefault="00EC4F39" w:rsidP="00C72455">
      <w:pPr>
        <w:spacing w:after="120" w:line="360" w:lineRule="auto"/>
        <w:rPr>
          <w:rFonts w:ascii="Times New Roman" w:hAnsi="Times New Roman" w:cs="Times New Roman"/>
          <w:noProof/>
          <w:sz w:val="24"/>
        </w:rPr>
      </w:pPr>
    </w:p>
    <w:p w:rsidR="00EC4F39" w:rsidRDefault="00EC4F39" w:rsidP="00C72455">
      <w:pPr>
        <w:spacing w:after="120" w:line="360" w:lineRule="auto"/>
        <w:rPr>
          <w:rFonts w:ascii="Times New Roman" w:hAnsi="Times New Roman" w:cs="Times New Roman"/>
          <w:noProof/>
          <w:sz w:val="24"/>
        </w:rPr>
      </w:pPr>
    </w:p>
    <w:p w:rsidR="00C72455" w:rsidRDefault="00C72455" w:rsidP="00C72455">
      <w:pPr>
        <w:spacing w:after="120" w:line="240" w:lineRule="auto"/>
        <w:rPr>
          <w:rFonts w:ascii="Times New Roman" w:hAnsi="Times New Roman" w:cs="Times New Roman"/>
          <w:noProof/>
          <w:sz w:val="24"/>
        </w:rPr>
      </w:pPr>
      <w:r>
        <w:rPr>
          <w:rFonts w:ascii="Times New Roman" w:hAnsi="Times New Roman"/>
          <w:noProof/>
          <w:sz w:val="24"/>
          <w:szCs w:val="24"/>
        </w:rPr>
        <w:drawing>
          <wp:inline distT="0" distB="0" distL="0" distR="0" wp14:anchorId="6470FA11" wp14:editId="5D365A7B">
            <wp:extent cx="6127667" cy="2517189"/>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 FILO.png"/>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6145552" cy="2524536"/>
                    </a:xfrm>
                    <a:prstGeom prst="rect">
                      <a:avLst/>
                    </a:prstGeom>
                    <a:ln>
                      <a:noFill/>
                    </a:ln>
                    <a:extLst>
                      <a:ext uri="{53640926-AAD7-44D8-BBD7-CCE9431645EC}">
                        <a14:shadowObscured xmlns:a14="http://schemas.microsoft.com/office/drawing/2010/main"/>
                      </a:ext>
                    </a:extLst>
                  </pic:spPr>
                </pic:pic>
              </a:graphicData>
            </a:graphic>
          </wp:inline>
        </w:drawing>
      </w:r>
    </w:p>
    <w:p w:rsidR="00C72455" w:rsidRPr="00FD793A" w:rsidRDefault="006D5505" w:rsidP="00C72455">
      <w:pPr>
        <w:spacing w:after="120" w:line="360" w:lineRule="auto"/>
        <w:rPr>
          <w:rFonts w:ascii="Times New Roman" w:hAnsi="Times New Roman" w:cs="Times New Roman"/>
          <w:noProof/>
          <w:sz w:val="24"/>
          <w:szCs w:val="24"/>
        </w:rPr>
      </w:pPr>
      <w:r>
        <w:rPr>
          <w:rFonts w:ascii="Times New Roman" w:hAnsi="Times New Roman" w:cs="Times New Roman"/>
          <w:b/>
          <w:noProof/>
          <w:sz w:val="24"/>
          <w:szCs w:val="24"/>
        </w:rPr>
        <w:t>Figure</w:t>
      </w:r>
      <w:r w:rsidR="00C72455" w:rsidRPr="00FD793A">
        <w:rPr>
          <w:rFonts w:ascii="Times New Roman" w:hAnsi="Times New Roman" w:cs="Times New Roman"/>
          <w:b/>
          <w:noProof/>
          <w:sz w:val="24"/>
          <w:szCs w:val="24"/>
        </w:rPr>
        <w:t xml:space="preserve"> 5.</w:t>
      </w:r>
      <w:r w:rsidR="00C72455" w:rsidRPr="00FD793A">
        <w:rPr>
          <w:rFonts w:ascii="Times New Roman" w:hAnsi="Times New Roman" w:cs="Times New Roman"/>
          <w:noProof/>
          <w:sz w:val="24"/>
          <w:szCs w:val="24"/>
        </w:rPr>
        <w:t xml:space="preserve"> </w:t>
      </w:r>
      <w:r w:rsidRPr="006D5505">
        <w:rPr>
          <w:rFonts w:ascii="Times New Roman" w:hAnsi="Times New Roman" w:cs="Times New Roman"/>
          <w:noProof/>
          <w:sz w:val="24"/>
          <w:szCs w:val="24"/>
        </w:rPr>
        <w:t>Phylogenetic Tree of Isolate A1</w:t>
      </w:r>
    </w:p>
    <w:p w:rsidR="006D5505" w:rsidRPr="006D5505" w:rsidRDefault="006D5505" w:rsidP="006D5505">
      <w:pPr>
        <w:spacing w:line="480" w:lineRule="auto"/>
        <w:rPr>
          <w:rFonts w:ascii="Times New Roman" w:hAnsi="Times New Roman" w:cs="Times New Roman"/>
          <w:noProof/>
          <w:sz w:val="24"/>
        </w:rPr>
      </w:pPr>
      <w:r w:rsidRPr="006D5505">
        <w:rPr>
          <w:rFonts w:ascii="Times New Roman" w:hAnsi="Times New Roman" w:cs="Times New Roman"/>
          <w:noProof/>
          <w:sz w:val="24"/>
        </w:rPr>
        <w:t xml:space="preserve">Based on the sequencing results shown in Figure 3, isolate A1 has a DNA length of 589 bp. Based on the results of BLAST analysis and phylogenetic tree construction, it can be concluded that isolate A1 has the most similarity with </w:t>
      </w:r>
      <w:r w:rsidRPr="006D5505">
        <w:rPr>
          <w:rFonts w:ascii="Times New Roman" w:hAnsi="Times New Roman" w:cs="Times New Roman"/>
          <w:b/>
          <w:i/>
          <w:noProof/>
          <w:sz w:val="24"/>
        </w:rPr>
        <w:t>Aspergillus flavus</w:t>
      </w:r>
      <w:r w:rsidRPr="006D5505">
        <w:rPr>
          <w:rFonts w:ascii="Times New Roman" w:hAnsi="Times New Roman" w:cs="Times New Roman"/>
          <w:b/>
          <w:noProof/>
          <w:sz w:val="24"/>
        </w:rPr>
        <w:t xml:space="preserve"> isolate RF1</w:t>
      </w:r>
      <w:r w:rsidRPr="006D5505">
        <w:rPr>
          <w:rFonts w:ascii="Times New Roman" w:hAnsi="Times New Roman" w:cs="Times New Roman"/>
          <w:noProof/>
          <w:sz w:val="24"/>
        </w:rPr>
        <w:t xml:space="preserve"> species with a percentage of 100%.</w:t>
      </w:r>
    </w:p>
    <w:p w:rsidR="00C72455" w:rsidRDefault="00C72455" w:rsidP="00C72455">
      <w:pPr>
        <w:spacing w:after="120" w:line="240" w:lineRule="auto"/>
        <w:jc w:val="both"/>
        <w:rPr>
          <w:rFonts w:ascii="Times New Roman" w:hAnsi="Times New Roman" w:cs="Times New Roman"/>
          <w:noProof/>
          <w:sz w:val="24"/>
        </w:rPr>
      </w:pPr>
      <w:r>
        <w:rPr>
          <w:rFonts w:ascii="Times New Roman" w:hAnsi="Times New Roman" w:cs="Times New Roman"/>
          <w:noProof/>
          <w:sz w:val="24"/>
        </w:rPr>
        <w:drawing>
          <wp:inline distT="0" distB="0" distL="0" distR="0" wp14:anchorId="093A07A4" wp14:editId="1243C1B9">
            <wp:extent cx="4821381" cy="25391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785).pn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4846458" cy="2552346"/>
                    </a:xfrm>
                    <a:prstGeom prst="rect">
                      <a:avLst/>
                    </a:prstGeom>
                    <a:ln>
                      <a:noFill/>
                    </a:ln>
                    <a:extLst>
                      <a:ext uri="{53640926-AAD7-44D8-BBD7-CCE9431645EC}">
                        <a14:shadowObscured xmlns:a14="http://schemas.microsoft.com/office/drawing/2010/main"/>
                      </a:ext>
                    </a:extLst>
                  </pic:spPr>
                </pic:pic>
              </a:graphicData>
            </a:graphic>
          </wp:inline>
        </w:drawing>
      </w:r>
    </w:p>
    <w:p w:rsidR="00C72455" w:rsidRDefault="006D5505" w:rsidP="00C72455">
      <w:pPr>
        <w:spacing w:after="120" w:line="360" w:lineRule="auto"/>
        <w:rPr>
          <w:rFonts w:ascii="Times New Roman" w:hAnsi="Times New Roman" w:cs="Times New Roman"/>
          <w:noProof/>
          <w:sz w:val="24"/>
        </w:rPr>
      </w:pPr>
      <w:r>
        <w:rPr>
          <w:rFonts w:ascii="Times New Roman" w:hAnsi="Times New Roman" w:cs="Times New Roman"/>
          <w:b/>
          <w:noProof/>
          <w:sz w:val="24"/>
        </w:rPr>
        <w:t>Figure</w:t>
      </w:r>
      <w:r w:rsidR="00C72455" w:rsidRPr="005C46AC">
        <w:rPr>
          <w:rFonts w:ascii="Times New Roman" w:hAnsi="Times New Roman" w:cs="Times New Roman"/>
          <w:b/>
          <w:noProof/>
          <w:sz w:val="24"/>
        </w:rPr>
        <w:t xml:space="preserve"> 6.</w:t>
      </w:r>
      <w:r w:rsidR="00C72455" w:rsidRPr="005C46AC">
        <w:rPr>
          <w:rFonts w:ascii="Times New Roman" w:hAnsi="Times New Roman" w:cs="Times New Roman"/>
          <w:noProof/>
          <w:sz w:val="24"/>
        </w:rPr>
        <w:t xml:space="preserve"> </w:t>
      </w:r>
      <w:r w:rsidRPr="006D5505">
        <w:rPr>
          <w:rFonts w:ascii="Times New Roman" w:hAnsi="Times New Roman" w:cs="Times New Roman"/>
          <w:noProof/>
          <w:sz w:val="24"/>
        </w:rPr>
        <w:t>Nitrogen Base Sequence of Isolate S2b(2)</w:t>
      </w:r>
    </w:p>
    <w:p w:rsidR="00C72455" w:rsidRDefault="00C72455" w:rsidP="00C72455">
      <w:pPr>
        <w:spacing w:after="120" w:line="240" w:lineRule="auto"/>
        <w:rPr>
          <w:rFonts w:ascii="Times New Roman" w:hAnsi="Times New Roman" w:cs="Times New Roman"/>
          <w:noProof/>
          <w:sz w:val="24"/>
        </w:rPr>
      </w:pPr>
      <w:r>
        <w:rPr>
          <w:rFonts w:ascii="Times New Roman" w:hAnsi="Times New Roman" w:cs="Times New Roman"/>
          <w:noProof/>
          <w:sz w:val="24"/>
        </w:rPr>
        <w:lastRenderedPageBreak/>
        <w:drawing>
          <wp:inline distT="0" distB="0" distL="0" distR="0" wp14:anchorId="4C6B90F3" wp14:editId="55A4A3B3">
            <wp:extent cx="6377049" cy="2885703"/>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b(2).pn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6421316" cy="2905734"/>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72455" w:rsidRPr="005C46AC" w:rsidRDefault="00380A23" w:rsidP="00C72455">
      <w:pPr>
        <w:spacing w:after="120" w:line="360" w:lineRule="auto"/>
        <w:rPr>
          <w:rFonts w:ascii="Times New Roman" w:hAnsi="Times New Roman" w:cs="Times New Roman"/>
          <w:noProof/>
          <w:sz w:val="24"/>
        </w:rPr>
      </w:pPr>
      <w:r>
        <w:rPr>
          <w:rFonts w:ascii="Times New Roman" w:hAnsi="Times New Roman" w:cs="Times New Roman"/>
          <w:b/>
          <w:noProof/>
          <w:sz w:val="24"/>
        </w:rPr>
        <w:t>Figure</w:t>
      </w:r>
      <w:r w:rsidR="00C72455" w:rsidRPr="005C46AC">
        <w:rPr>
          <w:rFonts w:ascii="Times New Roman" w:hAnsi="Times New Roman" w:cs="Times New Roman"/>
          <w:b/>
          <w:noProof/>
          <w:sz w:val="24"/>
        </w:rPr>
        <w:t xml:space="preserve"> 7</w:t>
      </w:r>
      <w:r w:rsidR="00C72455" w:rsidRPr="005C46AC">
        <w:rPr>
          <w:rFonts w:ascii="Times New Roman" w:hAnsi="Times New Roman" w:cs="Times New Roman"/>
          <w:noProof/>
          <w:sz w:val="24"/>
        </w:rPr>
        <w:t xml:space="preserve">. </w:t>
      </w:r>
      <w:r w:rsidRPr="006D5505">
        <w:rPr>
          <w:rFonts w:ascii="Times New Roman" w:hAnsi="Times New Roman" w:cs="Times New Roman"/>
          <w:noProof/>
          <w:sz w:val="24"/>
        </w:rPr>
        <w:t xml:space="preserve">BLAST Analysis of Isolate </w:t>
      </w:r>
      <w:r w:rsidR="00C72455" w:rsidRPr="005C46AC">
        <w:rPr>
          <w:rFonts w:ascii="Times New Roman" w:hAnsi="Times New Roman" w:cs="Times New Roman"/>
          <w:noProof/>
          <w:sz w:val="24"/>
        </w:rPr>
        <w:t>S2b(2)</w:t>
      </w:r>
    </w:p>
    <w:p w:rsidR="00C72455" w:rsidRDefault="00C72455" w:rsidP="00C72455">
      <w:pPr>
        <w:spacing w:after="120" w:line="240" w:lineRule="auto"/>
        <w:rPr>
          <w:rFonts w:ascii="Times New Roman" w:hAnsi="Times New Roman" w:cs="Times New Roman"/>
          <w:noProof/>
          <w:sz w:val="24"/>
        </w:rPr>
      </w:pPr>
      <w:r>
        <w:rPr>
          <w:noProof/>
        </w:rPr>
        <w:drawing>
          <wp:inline distT="0" distB="0" distL="0" distR="0" wp14:anchorId="2828F9AC" wp14:editId="46FF07B0">
            <wp:extent cx="6313004" cy="2280062"/>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b(2) FILO.png"/>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6347908" cy="2292668"/>
                    </a:xfrm>
                    <a:prstGeom prst="rect">
                      <a:avLst/>
                    </a:prstGeom>
                    <a:ln>
                      <a:noFill/>
                    </a:ln>
                    <a:extLst>
                      <a:ext uri="{53640926-AAD7-44D8-BBD7-CCE9431645EC}">
                        <a14:shadowObscured xmlns:a14="http://schemas.microsoft.com/office/drawing/2010/main"/>
                      </a:ext>
                    </a:extLst>
                  </pic:spPr>
                </pic:pic>
              </a:graphicData>
            </a:graphic>
          </wp:inline>
        </w:drawing>
      </w:r>
    </w:p>
    <w:p w:rsidR="00C72455" w:rsidRDefault="00380A23" w:rsidP="00C72455">
      <w:pPr>
        <w:spacing w:after="120" w:line="360" w:lineRule="auto"/>
        <w:rPr>
          <w:rFonts w:ascii="Times New Roman" w:hAnsi="Times New Roman" w:cs="Times New Roman"/>
          <w:noProof/>
          <w:sz w:val="24"/>
          <w:szCs w:val="24"/>
        </w:rPr>
      </w:pPr>
      <w:r>
        <w:rPr>
          <w:rFonts w:ascii="Times New Roman" w:hAnsi="Times New Roman" w:cs="Times New Roman"/>
          <w:b/>
          <w:noProof/>
          <w:sz w:val="24"/>
          <w:szCs w:val="24"/>
        </w:rPr>
        <w:t>Figure</w:t>
      </w:r>
      <w:r w:rsidR="00C72455" w:rsidRPr="005C46AC">
        <w:rPr>
          <w:rFonts w:ascii="Times New Roman" w:hAnsi="Times New Roman" w:cs="Times New Roman"/>
          <w:b/>
          <w:noProof/>
          <w:sz w:val="24"/>
          <w:szCs w:val="24"/>
        </w:rPr>
        <w:t xml:space="preserve"> 8.</w:t>
      </w:r>
      <w:r w:rsidR="00C72455" w:rsidRPr="005C46AC">
        <w:rPr>
          <w:rFonts w:ascii="Times New Roman" w:hAnsi="Times New Roman" w:cs="Times New Roman"/>
          <w:noProof/>
          <w:sz w:val="24"/>
          <w:szCs w:val="24"/>
        </w:rPr>
        <w:t xml:space="preserve"> </w:t>
      </w:r>
      <w:r w:rsidRPr="006D5505">
        <w:rPr>
          <w:rFonts w:ascii="Times New Roman" w:hAnsi="Times New Roman" w:cs="Times New Roman"/>
          <w:noProof/>
          <w:sz w:val="24"/>
          <w:szCs w:val="24"/>
        </w:rPr>
        <w:t xml:space="preserve">Phylogenetic Tree of Isolate </w:t>
      </w:r>
      <w:r w:rsidR="00C72455" w:rsidRPr="005C46AC">
        <w:rPr>
          <w:rFonts w:ascii="Times New Roman" w:hAnsi="Times New Roman" w:cs="Times New Roman"/>
          <w:noProof/>
          <w:sz w:val="24"/>
          <w:szCs w:val="24"/>
        </w:rPr>
        <w:t>S2b(2)</w:t>
      </w:r>
    </w:p>
    <w:p w:rsidR="00C72455" w:rsidRDefault="00380A23" w:rsidP="00C72455">
      <w:pPr>
        <w:spacing w:after="120" w:line="480" w:lineRule="auto"/>
        <w:jc w:val="both"/>
        <w:rPr>
          <w:rFonts w:ascii="Times New Roman" w:hAnsi="Times New Roman" w:cs="Times New Roman"/>
          <w:noProof/>
          <w:sz w:val="24"/>
        </w:rPr>
      </w:pPr>
      <w:r w:rsidRPr="00380A23">
        <w:rPr>
          <w:rFonts w:ascii="Times New Roman" w:hAnsi="Times New Roman" w:cs="Times New Roman"/>
          <w:noProof/>
          <w:sz w:val="24"/>
        </w:rPr>
        <w:t xml:space="preserve">Based on the sequencing results shown in Figure 6, isolate S2b(2) has a DNA length of 615 bp. Based on the results of BLAST analysis and phylogenetic tree construction, it can be concluded that isolate S2b(2) has the most similarity with the species </w:t>
      </w:r>
      <w:r w:rsidRPr="00380A23">
        <w:rPr>
          <w:rFonts w:ascii="Times New Roman" w:hAnsi="Times New Roman" w:cs="Times New Roman"/>
          <w:b/>
          <w:i/>
          <w:noProof/>
          <w:sz w:val="24"/>
        </w:rPr>
        <w:t>Aspergillus ibericus</w:t>
      </w:r>
      <w:r w:rsidRPr="00380A23">
        <w:rPr>
          <w:rFonts w:ascii="Times New Roman" w:hAnsi="Times New Roman" w:cs="Times New Roman"/>
          <w:b/>
          <w:noProof/>
          <w:sz w:val="24"/>
        </w:rPr>
        <w:t xml:space="preserve"> IMI 39</w:t>
      </w:r>
      <w:r w:rsidRPr="00380A23">
        <w:rPr>
          <w:rFonts w:ascii="Times New Roman" w:hAnsi="Times New Roman" w:cs="Times New Roman"/>
          <w:noProof/>
          <w:sz w:val="24"/>
        </w:rPr>
        <w:t xml:space="preserve"> with a percentage of 99.65%.</w:t>
      </w:r>
    </w:p>
    <w:p w:rsidR="00C72455" w:rsidRDefault="00C72455" w:rsidP="00C72455">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rPr>
        <w:lastRenderedPageBreak/>
        <w:drawing>
          <wp:inline distT="0" distB="0" distL="0" distR="0" wp14:anchorId="40D6BA5D" wp14:editId="08B849F2">
            <wp:extent cx="4678877" cy="249939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787).pn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4685524" cy="2502950"/>
                    </a:xfrm>
                    <a:prstGeom prst="rect">
                      <a:avLst/>
                    </a:prstGeom>
                    <a:ln>
                      <a:noFill/>
                    </a:ln>
                    <a:extLst>
                      <a:ext uri="{53640926-AAD7-44D8-BBD7-CCE9431645EC}">
                        <a14:shadowObscured xmlns:a14="http://schemas.microsoft.com/office/drawing/2010/main"/>
                      </a:ext>
                    </a:extLst>
                  </pic:spPr>
                </pic:pic>
              </a:graphicData>
            </a:graphic>
          </wp:inline>
        </w:drawing>
      </w:r>
    </w:p>
    <w:p w:rsidR="00C72455" w:rsidRDefault="006D5505" w:rsidP="00C72455">
      <w:pPr>
        <w:spacing w:after="120" w:line="360" w:lineRule="auto"/>
        <w:rPr>
          <w:rFonts w:ascii="Times New Roman" w:hAnsi="Times New Roman" w:cs="Times New Roman"/>
          <w:noProof/>
          <w:sz w:val="24"/>
        </w:rPr>
      </w:pPr>
      <w:r>
        <w:rPr>
          <w:rFonts w:ascii="Times New Roman" w:hAnsi="Times New Roman" w:cs="Times New Roman"/>
          <w:b/>
          <w:noProof/>
          <w:sz w:val="24"/>
        </w:rPr>
        <w:t>Figure</w:t>
      </w:r>
      <w:r w:rsidR="00C72455" w:rsidRPr="002E4CCF">
        <w:rPr>
          <w:rFonts w:ascii="Times New Roman" w:hAnsi="Times New Roman" w:cs="Times New Roman"/>
          <w:b/>
          <w:noProof/>
          <w:sz w:val="24"/>
        </w:rPr>
        <w:t xml:space="preserve"> 9.</w:t>
      </w:r>
      <w:r w:rsidR="00C72455" w:rsidRPr="002E4CCF">
        <w:rPr>
          <w:rFonts w:ascii="Times New Roman" w:hAnsi="Times New Roman" w:cs="Times New Roman"/>
          <w:noProof/>
          <w:sz w:val="24"/>
        </w:rPr>
        <w:t xml:space="preserve"> </w:t>
      </w:r>
      <w:r w:rsidRPr="006D5505">
        <w:rPr>
          <w:rFonts w:ascii="Times New Roman" w:hAnsi="Times New Roman" w:cs="Times New Roman"/>
          <w:noProof/>
          <w:sz w:val="24"/>
        </w:rPr>
        <w:t>Nitrogen Base Sequence of Isolate</w:t>
      </w:r>
      <w:r w:rsidRPr="002E4CCF">
        <w:rPr>
          <w:rFonts w:ascii="Times New Roman" w:hAnsi="Times New Roman" w:cs="Times New Roman"/>
          <w:noProof/>
          <w:sz w:val="24"/>
        </w:rPr>
        <w:t xml:space="preserve"> </w:t>
      </w:r>
      <w:r w:rsidR="00C72455" w:rsidRPr="002E4CCF">
        <w:rPr>
          <w:rFonts w:ascii="Times New Roman" w:hAnsi="Times New Roman" w:cs="Times New Roman"/>
          <w:noProof/>
          <w:sz w:val="24"/>
        </w:rPr>
        <w:t xml:space="preserve">Y1b </w:t>
      </w:r>
    </w:p>
    <w:p w:rsidR="00C72455" w:rsidRDefault="00C72455" w:rsidP="00C72455">
      <w:pPr>
        <w:spacing w:after="120" w:line="240" w:lineRule="auto"/>
        <w:rPr>
          <w:rFonts w:ascii="Times New Roman" w:hAnsi="Times New Roman" w:cs="Times New Roman"/>
          <w:noProof/>
          <w:sz w:val="24"/>
        </w:rPr>
      </w:pPr>
      <w:r>
        <w:rPr>
          <w:rFonts w:ascii="Times New Roman" w:hAnsi="Times New Roman" w:cs="Times New Roman"/>
          <w:noProof/>
          <w:sz w:val="24"/>
        </w:rPr>
        <w:drawing>
          <wp:inline distT="0" distB="0" distL="0" distR="0" wp14:anchorId="20F97952" wp14:editId="1DAFFF4E">
            <wp:extent cx="6377049" cy="292133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B.pn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6460326" cy="2959479"/>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72455" w:rsidRDefault="00380A23" w:rsidP="00C72455">
      <w:pPr>
        <w:spacing w:after="120" w:line="360" w:lineRule="auto"/>
        <w:rPr>
          <w:rFonts w:ascii="Times New Roman" w:hAnsi="Times New Roman" w:cs="Times New Roman"/>
          <w:noProof/>
          <w:sz w:val="24"/>
        </w:rPr>
      </w:pPr>
      <w:r>
        <w:rPr>
          <w:rFonts w:ascii="Times New Roman" w:hAnsi="Times New Roman" w:cs="Times New Roman"/>
          <w:b/>
          <w:sz w:val="24"/>
          <w:szCs w:val="24"/>
        </w:rPr>
        <w:t>Figure</w:t>
      </w:r>
      <w:r w:rsidR="00C72455" w:rsidRPr="002E4CCF">
        <w:rPr>
          <w:rFonts w:ascii="Times New Roman" w:hAnsi="Times New Roman" w:cs="Times New Roman"/>
          <w:b/>
          <w:sz w:val="24"/>
          <w:szCs w:val="24"/>
        </w:rPr>
        <w:t xml:space="preserve"> 10.</w:t>
      </w:r>
      <w:r w:rsidR="00C72455" w:rsidRPr="002E4CCF">
        <w:rPr>
          <w:rFonts w:ascii="Times New Roman" w:hAnsi="Times New Roman" w:cs="Times New Roman"/>
          <w:sz w:val="24"/>
          <w:szCs w:val="24"/>
        </w:rPr>
        <w:t xml:space="preserve"> </w:t>
      </w:r>
      <w:r w:rsidRPr="006D5505">
        <w:rPr>
          <w:rFonts w:ascii="Times New Roman" w:hAnsi="Times New Roman" w:cs="Times New Roman"/>
          <w:noProof/>
          <w:sz w:val="24"/>
        </w:rPr>
        <w:t xml:space="preserve">BLAST Analysis of Isolate </w:t>
      </w:r>
      <w:r w:rsidR="00C72455" w:rsidRPr="002E4CCF">
        <w:rPr>
          <w:rFonts w:ascii="Times New Roman" w:hAnsi="Times New Roman" w:cs="Times New Roman"/>
          <w:noProof/>
          <w:sz w:val="24"/>
        </w:rPr>
        <w:t>Y1b</w:t>
      </w:r>
    </w:p>
    <w:p w:rsidR="00EC4F39" w:rsidRDefault="00EC4F39" w:rsidP="00C72455">
      <w:pPr>
        <w:spacing w:after="120" w:line="360" w:lineRule="auto"/>
        <w:rPr>
          <w:rFonts w:ascii="Times New Roman" w:hAnsi="Times New Roman" w:cs="Times New Roman"/>
          <w:noProof/>
          <w:sz w:val="24"/>
        </w:rPr>
      </w:pPr>
    </w:p>
    <w:p w:rsidR="00EC4F39" w:rsidRDefault="00EC4F39" w:rsidP="00C72455">
      <w:pPr>
        <w:spacing w:after="120" w:line="360" w:lineRule="auto"/>
        <w:rPr>
          <w:rFonts w:ascii="Times New Roman" w:hAnsi="Times New Roman" w:cs="Times New Roman"/>
          <w:noProof/>
          <w:sz w:val="24"/>
        </w:rPr>
      </w:pPr>
    </w:p>
    <w:p w:rsidR="00C72455" w:rsidRDefault="00C72455" w:rsidP="00C72455">
      <w:pPr>
        <w:spacing w:after="120" w:line="240" w:lineRule="auto"/>
        <w:rPr>
          <w:rFonts w:ascii="Times New Roman" w:hAnsi="Times New Roman" w:cs="Times New Roman"/>
          <w:noProof/>
          <w:sz w:val="24"/>
        </w:rPr>
      </w:pPr>
      <w:r>
        <w:rPr>
          <w:rFonts w:ascii="Times New Roman" w:hAnsi="Times New Roman"/>
          <w:noProof/>
          <w:sz w:val="24"/>
          <w:szCs w:val="24"/>
        </w:rPr>
        <w:lastRenderedPageBreak/>
        <w:drawing>
          <wp:inline distT="0" distB="0" distL="0" distR="0" wp14:anchorId="03E215E0" wp14:editId="136DF13E">
            <wp:extent cx="6127667" cy="2537448"/>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B FILO.pn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6135985" cy="2540892"/>
                    </a:xfrm>
                    <a:prstGeom prst="rect">
                      <a:avLst/>
                    </a:prstGeom>
                    <a:ln>
                      <a:noFill/>
                    </a:ln>
                    <a:extLst>
                      <a:ext uri="{53640926-AAD7-44D8-BBD7-CCE9431645EC}">
                        <a14:shadowObscured xmlns:a14="http://schemas.microsoft.com/office/drawing/2010/main"/>
                      </a:ext>
                    </a:extLst>
                  </pic:spPr>
                </pic:pic>
              </a:graphicData>
            </a:graphic>
          </wp:inline>
        </w:drawing>
      </w:r>
    </w:p>
    <w:p w:rsidR="00C72455" w:rsidRDefault="00380A23" w:rsidP="00C72455">
      <w:pPr>
        <w:spacing w:after="120" w:line="360" w:lineRule="auto"/>
        <w:rPr>
          <w:rFonts w:ascii="Times New Roman" w:hAnsi="Times New Roman" w:cs="Times New Roman"/>
          <w:noProof/>
          <w:sz w:val="24"/>
          <w:szCs w:val="24"/>
        </w:rPr>
      </w:pPr>
      <w:r>
        <w:rPr>
          <w:rFonts w:ascii="Times New Roman" w:hAnsi="Times New Roman" w:cs="Times New Roman"/>
          <w:b/>
          <w:noProof/>
          <w:sz w:val="24"/>
          <w:szCs w:val="24"/>
        </w:rPr>
        <w:t>Figure</w:t>
      </w:r>
      <w:r w:rsidR="00C72455" w:rsidRPr="002E4CCF">
        <w:rPr>
          <w:rFonts w:ascii="Times New Roman" w:hAnsi="Times New Roman" w:cs="Times New Roman"/>
          <w:b/>
          <w:noProof/>
          <w:sz w:val="24"/>
          <w:szCs w:val="24"/>
        </w:rPr>
        <w:t xml:space="preserve"> 11.</w:t>
      </w:r>
      <w:r w:rsidR="00C72455" w:rsidRPr="002E4CCF">
        <w:rPr>
          <w:rFonts w:ascii="Times New Roman" w:hAnsi="Times New Roman" w:cs="Times New Roman"/>
          <w:noProof/>
          <w:sz w:val="24"/>
          <w:szCs w:val="24"/>
        </w:rPr>
        <w:t xml:space="preserve"> </w:t>
      </w:r>
      <w:r w:rsidRPr="006D5505">
        <w:rPr>
          <w:rFonts w:ascii="Times New Roman" w:hAnsi="Times New Roman" w:cs="Times New Roman"/>
          <w:noProof/>
          <w:sz w:val="24"/>
          <w:szCs w:val="24"/>
        </w:rPr>
        <w:t xml:space="preserve">Phylogenetic Tree of Isolate </w:t>
      </w:r>
      <w:r w:rsidR="00C72455" w:rsidRPr="002E4CCF">
        <w:rPr>
          <w:rFonts w:ascii="Times New Roman" w:hAnsi="Times New Roman" w:cs="Times New Roman"/>
          <w:noProof/>
          <w:sz w:val="24"/>
          <w:szCs w:val="24"/>
        </w:rPr>
        <w:t>Y1b</w:t>
      </w:r>
    </w:p>
    <w:p w:rsidR="00C72455" w:rsidRDefault="00380A23" w:rsidP="00C72455">
      <w:pPr>
        <w:spacing w:after="120" w:line="480" w:lineRule="auto"/>
        <w:jc w:val="both"/>
        <w:rPr>
          <w:rFonts w:ascii="Times New Roman" w:hAnsi="Times New Roman" w:cs="Times New Roman"/>
          <w:sz w:val="24"/>
          <w:szCs w:val="24"/>
        </w:rPr>
      </w:pPr>
      <w:r w:rsidRPr="00380A23">
        <w:rPr>
          <w:rFonts w:ascii="Times New Roman" w:hAnsi="Times New Roman" w:cs="Times New Roman"/>
          <w:noProof/>
          <w:sz w:val="24"/>
        </w:rPr>
        <w:t xml:space="preserve">Based on the sequencing results shown in Figure 9, isolate Y1b has a DNA length of 562 bp. The results of phylogenetic tree construction in Figure 11 show that isolate Y1b has the closest kinship with </w:t>
      </w:r>
      <w:r w:rsidRPr="00380A23">
        <w:rPr>
          <w:rFonts w:ascii="Times New Roman" w:hAnsi="Times New Roman" w:cs="Times New Roman"/>
          <w:b/>
          <w:i/>
          <w:noProof/>
          <w:sz w:val="24"/>
        </w:rPr>
        <w:t>Aspergillus aculeatus</w:t>
      </w:r>
      <w:r w:rsidRPr="00380A23">
        <w:rPr>
          <w:rFonts w:ascii="Times New Roman" w:hAnsi="Times New Roman" w:cs="Times New Roman"/>
          <w:b/>
          <w:noProof/>
          <w:sz w:val="24"/>
        </w:rPr>
        <w:t xml:space="preserve"> culture CBS: 132163</w:t>
      </w:r>
      <w:r w:rsidRPr="00380A23">
        <w:rPr>
          <w:rFonts w:ascii="Times New Roman" w:hAnsi="Times New Roman" w:cs="Times New Roman"/>
          <w:noProof/>
          <w:sz w:val="24"/>
        </w:rPr>
        <w:t xml:space="preserve"> with a percentage similarity of 100%.</w:t>
      </w:r>
    </w:p>
    <w:p w:rsidR="00C72455" w:rsidRDefault="00C72455" w:rsidP="00C72455">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rPr>
        <w:drawing>
          <wp:inline distT="0" distB="0" distL="0" distR="0" wp14:anchorId="7BCC9A35" wp14:editId="7344D66A">
            <wp:extent cx="5028248" cy="2398815"/>
            <wp:effectExtent l="0" t="0" r="127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788).pn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105117" cy="2435487"/>
                    </a:xfrm>
                    <a:prstGeom prst="rect">
                      <a:avLst/>
                    </a:prstGeom>
                    <a:ln>
                      <a:noFill/>
                    </a:ln>
                    <a:extLst>
                      <a:ext uri="{53640926-AAD7-44D8-BBD7-CCE9431645EC}">
                        <a14:shadowObscured xmlns:a14="http://schemas.microsoft.com/office/drawing/2010/main"/>
                      </a:ext>
                    </a:extLst>
                  </pic:spPr>
                </pic:pic>
              </a:graphicData>
            </a:graphic>
          </wp:inline>
        </w:drawing>
      </w:r>
    </w:p>
    <w:p w:rsidR="00C72455" w:rsidRDefault="00380A23" w:rsidP="00C72455">
      <w:pPr>
        <w:spacing w:after="120" w:line="360" w:lineRule="auto"/>
        <w:rPr>
          <w:rFonts w:ascii="Times New Roman" w:hAnsi="Times New Roman" w:cs="Times New Roman"/>
          <w:noProof/>
          <w:sz w:val="24"/>
        </w:rPr>
      </w:pPr>
      <w:r>
        <w:rPr>
          <w:rFonts w:ascii="Times New Roman" w:hAnsi="Times New Roman" w:cs="Times New Roman"/>
          <w:b/>
          <w:noProof/>
          <w:sz w:val="24"/>
        </w:rPr>
        <w:t>Figure</w:t>
      </w:r>
      <w:r w:rsidR="00C72455" w:rsidRPr="007A1806">
        <w:rPr>
          <w:rFonts w:ascii="Times New Roman" w:hAnsi="Times New Roman" w:cs="Times New Roman"/>
          <w:b/>
          <w:noProof/>
          <w:sz w:val="24"/>
        </w:rPr>
        <w:t xml:space="preserve"> 12.</w:t>
      </w:r>
      <w:r w:rsidR="00C72455" w:rsidRPr="007A1806">
        <w:rPr>
          <w:rFonts w:ascii="Times New Roman" w:hAnsi="Times New Roman" w:cs="Times New Roman"/>
          <w:noProof/>
          <w:sz w:val="24"/>
        </w:rPr>
        <w:t xml:space="preserve"> </w:t>
      </w:r>
      <w:r w:rsidRPr="006D5505">
        <w:rPr>
          <w:rFonts w:ascii="Times New Roman" w:hAnsi="Times New Roman" w:cs="Times New Roman"/>
          <w:noProof/>
          <w:sz w:val="24"/>
        </w:rPr>
        <w:t>Nitrogen Base Sequence of Isolate</w:t>
      </w:r>
      <w:r>
        <w:rPr>
          <w:rFonts w:ascii="Times New Roman" w:hAnsi="Times New Roman" w:cs="Times New Roman"/>
          <w:noProof/>
          <w:sz w:val="24"/>
        </w:rPr>
        <w:t xml:space="preserve"> H2a</w:t>
      </w:r>
    </w:p>
    <w:p w:rsidR="00C72455" w:rsidRPr="007A1806" w:rsidRDefault="00C72455" w:rsidP="00C72455">
      <w:pPr>
        <w:spacing w:after="120" w:line="240" w:lineRule="auto"/>
        <w:rPr>
          <w:rFonts w:ascii="Times New Roman" w:hAnsi="Times New Roman" w:cs="Times New Roman"/>
          <w:noProof/>
          <w:sz w:val="24"/>
        </w:rPr>
      </w:pPr>
      <w:r>
        <w:rPr>
          <w:rFonts w:ascii="Times New Roman" w:hAnsi="Times New Roman" w:cs="Times New Roman"/>
          <w:noProof/>
          <w:sz w:val="24"/>
        </w:rPr>
        <w:lastRenderedPageBreak/>
        <w:drawing>
          <wp:inline distT="0" distB="0" distL="0" distR="0" wp14:anchorId="32E2A7C1" wp14:editId="3C4A6BB5">
            <wp:extent cx="6210794" cy="299258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a.png"/>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6222619" cy="2998279"/>
                    </a:xfrm>
                    <a:prstGeom prst="rect">
                      <a:avLst/>
                    </a:prstGeom>
                    <a:ln>
                      <a:noFill/>
                    </a:ln>
                    <a:extLst>
                      <a:ext uri="{53640926-AAD7-44D8-BBD7-CCE9431645EC}">
                        <a14:shadowObscured xmlns:a14="http://schemas.microsoft.com/office/drawing/2010/main"/>
                      </a:ext>
                    </a:extLst>
                  </pic:spPr>
                </pic:pic>
              </a:graphicData>
            </a:graphic>
          </wp:inline>
        </w:drawing>
      </w:r>
    </w:p>
    <w:p w:rsidR="00C72455" w:rsidRDefault="00380A23" w:rsidP="00C72455">
      <w:pPr>
        <w:spacing w:after="120" w:line="360" w:lineRule="auto"/>
        <w:rPr>
          <w:rFonts w:ascii="Times New Roman" w:hAnsi="Times New Roman" w:cs="Times New Roman"/>
          <w:sz w:val="24"/>
          <w:szCs w:val="24"/>
        </w:rPr>
      </w:pPr>
      <w:r>
        <w:rPr>
          <w:rFonts w:ascii="Times New Roman" w:hAnsi="Times New Roman" w:cs="Times New Roman"/>
          <w:b/>
          <w:sz w:val="24"/>
          <w:szCs w:val="24"/>
        </w:rPr>
        <w:t>Figure</w:t>
      </w:r>
      <w:r w:rsidR="00C72455" w:rsidRPr="007A1806">
        <w:rPr>
          <w:rFonts w:ascii="Times New Roman" w:hAnsi="Times New Roman" w:cs="Times New Roman"/>
          <w:b/>
          <w:sz w:val="24"/>
          <w:szCs w:val="24"/>
        </w:rPr>
        <w:t xml:space="preserve"> 13.</w:t>
      </w:r>
      <w:r w:rsidR="00C72455" w:rsidRPr="007A1806">
        <w:rPr>
          <w:rFonts w:ascii="Times New Roman" w:hAnsi="Times New Roman" w:cs="Times New Roman"/>
          <w:sz w:val="24"/>
          <w:szCs w:val="24"/>
        </w:rPr>
        <w:t xml:space="preserve"> </w:t>
      </w:r>
      <w:r w:rsidRPr="006D5505">
        <w:rPr>
          <w:rFonts w:ascii="Times New Roman" w:hAnsi="Times New Roman" w:cs="Times New Roman"/>
          <w:noProof/>
          <w:sz w:val="24"/>
        </w:rPr>
        <w:t xml:space="preserve">BLAST Analysis of Isolate </w:t>
      </w:r>
      <w:r w:rsidR="00C72455" w:rsidRPr="007A1806">
        <w:rPr>
          <w:rFonts w:ascii="Times New Roman" w:hAnsi="Times New Roman" w:cs="Times New Roman"/>
          <w:sz w:val="24"/>
          <w:szCs w:val="24"/>
        </w:rPr>
        <w:t>H2a</w:t>
      </w:r>
    </w:p>
    <w:p w:rsidR="00C72455" w:rsidRDefault="00C72455" w:rsidP="00C72455">
      <w:pPr>
        <w:spacing w:after="12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12DB5E" wp14:editId="04766C1C">
            <wp:extent cx="6127667" cy="2988120"/>
            <wp:effectExtent l="0" t="0" r="698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A FILO.png"/>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6152850" cy="3000400"/>
                    </a:xfrm>
                    <a:prstGeom prst="rect">
                      <a:avLst/>
                    </a:prstGeom>
                    <a:ln>
                      <a:noFill/>
                    </a:ln>
                    <a:extLst>
                      <a:ext uri="{53640926-AAD7-44D8-BBD7-CCE9431645EC}">
                        <a14:shadowObscured xmlns:a14="http://schemas.microsoft.com/office/drawing/2010/main"/>
                      </a:ext>
                    </a:extLst>
                  </pic:spPr>
                </pic:pic>
              </a:graphicData>
            </a:graphic>
          </wp:inline>
        </w:drawing>
      </w:r>
    </w:p>
    <w:p w:rsidR="00C72455" w:rsidRPr="007A1806" w:rsidRDefault="00380A23" w:rsidP="00C72455">
      <w:pPr>
        <w:spacing w:after="120" w:line="360" w:lineRule="auto"/>
        <w:rPr>
          <w:rFonts w:ascii="Times New Roman" w:hAnsi="Times New Roman" w:cs="Times New Roman"/>
          <w:noProof/>
          <w:sz w:val="24"/>
          <w:szCs w:val="24"/>
        </w:rPr>
      </w:pPr>
      <w:r>
        <w:rPr>
          <w:rFonts w:ascii="Times New Roman" w:hAnsi="Times New Roman" w:cs="Times New Roman"/>
          <w:b/>
          <w:noProof/>
          <w:sz w:val="24"/>
          <w:szCs w:val="24"/>
        </w:rPr>
        <w:t>Figure</w:t>
      </w:r>
      <w:r w:rsidR="00C72455" w:rsidRPr="007A1806">
        <w:rPr>
          <w:rFonts w:ascii="Times New Roman" w:hAnsi="Times New Roman" w:cs="Times New Roman"/>
          <w:b/>
          <w:noProof/>
          <w:sz w:val="24"/>
          <w:szCs w:val="24"/>
        </w:rPr>
        <w:t xml:space="preserve"> 14.</w:t>
      </w:r>
      <w:r w:rsidR="00C72455" w:rsidRPr="007A1806">
        <w:rPr>
          <w:rFonts w:ascii="Times New Roman" w:hAnsi="Times New Roman" w:cs="Times New Roman"/>
          <w:noProof/>
          <w:sz w:val="24"/>
          <w:szCs w:val="24"/>
        </w:rPr>
        <w:t xml:space="preserve"> </w:t>
      </w:r>
      <w:r w:rsidRPr="006D5505">
        <w:rPr>
          <w:rFonts w:ascii="Times New Roman" w:hAnsi="Times New Roman" w:cs="Times New Roman"/>
          <w:noProof/>
          <w:sz w:val="24"/>
          <w:szCs w:val="24"/>
        </w:rPr>
        <w:t xml:space="preserve">Phylogenetic Tree of Isolate </w:t>
      </w:r>
      <w:r w:rsidR="00C72455" w:rsidRPr="007A1806">
        <w:rPr>
          <w:rFonts w:ascii="Times New Roman" w:hAnsi="Times New Roman" w:cs="Times New Roman"/>
          <w:noProof/>
          <w:sz w:val="24"/>
          <w:szCs w:val="24"/>
        </w:rPr>
        <w:t>H2a</w:t>
      </w:r>
    </w:p>
    <w:p w:rsidR="004B2BF0" w:rsidRDefault="00380A23" w:rsidP="00380A23">
      <w:pPr>
        <w:spacing w:after="120" w:line="480" w:lineRule="auto"/>
        <w:jc w:val="both"/>
        <w:rPr>
          <w:rFonts w:ascii="Times New Roman" w:hAnsi="Times New Roman" w:cs="Times New Roman"/>
          <w:b/>
          <w:i/>
          <w:noProof/>
          <w:sz w:val="24"/>
          <w:szCs w:val="24"/>
        </w:rPr>
      </w:pPr>
      <w:r w:rsidRPr="00380A23">
        <w:rPr>
          <w:rFonts w:ascii="Times New Roman" w:hAnsi="Times New Roman" w:cs="Times New Roman"/>
          <w:noProof/>
          <w:sz w:val="24"/>
        </w:rPr>
        <w:t xml:space="preserve">Based on the sequencing results shown in Figure 12 isolate H2a has a DNA length of 503 bp. Based on the results of BLAST analysis and phylogenetic tree construction, it can be concluded that isolate H2a has the most similarity with the species </w:t>
      </w:r>
      <w:r w:rsidRPr="00380A23">
        <w:rPr>
          <w:rFonts w:ascii="Times New Roman" w:hAnsi="Times New Roman" w:cs="Times New Roman"/>
          <w:b/>
          <w:i/>
          <w:noProof/>
          <w:sz w:val="24"/>
        </w:rPr>
        <w:t>Aspergillus sp.</w:t>
      </w:r>
      <w:r w:rsidRPr="00380A23">
        <w:rPr>
          <w:rFonts w:ascii="Times New Roman" w:hAnsi="Times New Roman" w:cs="Times New Roman"/>
          <w:b/>
          <w:noProof/>
          <w:sz w:val="24"/>
        </w:rPr>
        <w:t xml:space="preserve"> AST97 </w:t>
      </w:r>
      <w:r w:rsidRPr="00380A23">
        <w:rPr>
          <w:rFonts w:ascii="Times New Roman" w:hAnsi="Times New Roman" w:cs="Times New Roman"/>
          <w:noProof/>
          <w:sz w:val="24"/>
        </w:rPr>
        <w:t>with a percentage of 100%.</w:t>
      </w:r>
      <w:r w:rsidRPr="008C5862">
        <w:rPr>
          <w:rFonts w:ascii="Times New Roman" w:hAnsi="Times New Roman" w:cs="Times New Roman"/>
          <w:b/>
          <w:i/>
          <w:noProof/>
          <w:sz w:val="24"/>
          <w:szCs w:val="24"/>
        </w:rPr>
        <w:t xml:space="preserve"> </w:t>
      </w:r>
    </w:p>
    <w:p w:rsidR="00B4442F" w:rsidRDefault="00B4442F" w:rsidP="00B4442F">
      <w:pPr>
        <w:tabs>
          <w:tab w:val="left" w:pos="2977"/>
        </w:tabs>
        <w:spacing w:after="0" w:line="480" w:lineRule="auto"/>
        <w:ind w:firstLine="567"/>
        <w:jc w:val="both"/>
        <w:rPr>
          <w:rFonts w:ascii="Times New Roman" w:hAnsi="Times New Roman" w:cs="Times New Roman"/>
          <w:noProof/>
          <w:sz w:val="24"/>
          <w:szCs w:val="24"/>
        </w:rPr>
      </w:pPr>
      <w:r w:rsidRPr="00B4442F">
        <w:rPr>
          <w:rFonts w:ascii="Times New Roman" w:hAnsi="Times New Roman" w:cs="Times New Roman"/>
          <w:noProof/>
          <w:sz w:val="24"/>
          <w:szCs w:val="24"/>
        </w:rPr>
        <w:lastRenderedPageBreak/>
        <w:t>Based on the results of BLAST analysis and phylogenetic tree construction, it can be concluded that the fungal consortium from each land use is obtained as follows:</w:t>
      </w:r>
    </w:p>
    <w:p w:rsidR="00B4442F" w:rsidRPr="00E10323" w:rsidRDefault="00B4442F" w:rsidP="00B4442F">
      <w:pPr>
        <w:tabs>
          <w:tab w:val="left" w:pos="2977"/>
        </w:tabs>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t>Table</w:t>
      </w:r>
      <w:r w:rsidR="009A0124">
        <w:rPr>
          <w:rFonts w:ascii="Times New Roman" w:hAnsi="Times New Roman" w:cs="Times New Roman"/>
          <w:b/>
          <w:noProof/>
          <w:sz w:val="24"/>
          <w:szCs w:val="24"/>
        </w:rPr>
        <w:t xml:space="preserve"> 5</w:t>
      </w:r>
      <w:r w:rsidRPr="00314B82">
        <w:rPr>
          <w:rFonts w:ascii="Times New Roman" w:hAnsi="Times New Roman" w:cs="Times New Roman"/>
          <w:b/>
          <w:noProof/>
          <w:sz w:val="24"/>
          <w:szCs w:val="24"/>
        </w:rPr>
        <w:t>.</w:t>
      </w:r>
      <w:r w:rsidRPr="00E10323">
        <w:rPr>
          <w:rFonts w:ascii="Times New Roman" w:hAnsi="Times New Roman" w:cs="Times New Roman"/>
          <w:noProof/>
          <w:sz w:val="24"/>
          <w:szCs w:val="24"/>
        </w:rPr>
        <w:t xml:space="preserve"> </w:t>
      </w:r>
      <w:r w:rsidRPr="00B4442F">
        <w:rPr>
          <w:rFonts w:ascii="Times New Roman" w:hAnsi="Times New Roman" w:cs="Times New Roman"/>
          <w:noProof/>
          <w:sz w:val="24"/>
          <w:szCs w:val="24"/>
        </w:rPr>
        <w:t>Fungal Consortium from Each Land Use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3436"/>
        <w:gridCol w:w="4218"/>
      </w:tblGrid>
      <w:tr w:rsidR="00B4442F" w:rsidRPr="0045337A" w:rsidTr="00141F43">
        <w:tc>
          <w:tcPr>
            <w:tcW w:w="851" w:type="dxa"/>
            <w:tcBorders>
              <w:top w:val="single" w:sz="4" w:space="0" w:color="auto"/>
              <w:bottom w:val="single" w:sz="4" w:space="0" w:color="auto"/>
            </w:tcBorders>
          </w:tcPr>
          <w:p w:rsidR="00B4442F" w:rsidRPr="00E10323" w:rsidRDefault="00B4442F" w:rsidP="00141F43">
            <w:pPr>
              <w:pStyle w:val="ListParagraph"/>
              <w:spacing w:line="360" w:lineRule="auto"/>
              <w:ind w:left="0"/>
              <w:contextualSpacing w:val="0"/>
              <w:jc w:val="center"/>
              <w:rPr>
                <w:rFonts w:ascii="Times New Roman" w:hAnsi="Times New Roman" w:cs="Times New Roman"/>
                <w:noProof/>
                <w:sz w:val="24"/>
                <w:szCs w:val="24"/>
              </w:rPr>
            </w:pPr>
            <w:r w:rsidRPr="00E10323">
              <w:rPr>
                <w:rFonts w:ascii="Times New Roman" w:hAnsi="Times New Roman" w:cs="Times New Roman"/>
                <w:noProof/>
                <w:sz w:val="24"/>
                <w:szCs w:val="24"/>
              </w:rPr>
              <w:t>No</w:t>
            </w:r>
          </w:p>
        </w:tc>
        <w:tc>
          <w:tcPr>
            <w:tcW w:w="3436" w:type="dxa"/>
            <w:tcBorders>
              <w:top w:val="single" w:sz="4" w:space="0" w:color="auto"/>
              <w:bottom w:val="single" w:sz="4" w:space="0" w:color="auto"/>
            </w:tcBorders>
          </w:tcPr>
          <w:p w:rsidR="00B4442F" w:rsidRPr="00E10323" w:rsidRDefault="00B4442F" w:rsidP="00141F43">
            <w:pPr>
              <w:pStyle w:val="ListParagraph"/>
              <w:spacing w:line="360" w:lineRule="auto"/>
              <w:ind w:left="0"/>
              <w:contextualSpacing w:val="0"/>
              <w:jc w:val="center"/>
              <w:rPr>
                <w:rFonts w:ascii="Times New Roman" w:hAnsi="Times New Roman" w:cs="Times New Roman"/>
                <w:noProof/>
                <w:sz w:val="24"/>
                <w:szCs w:val="24"/>
              </w:rPr>
            </w:pPr>
            <w:r w:rsidRPr="00B4442F">
              <w:rPr>
                <w:rFonts w:ascii="Times New Roman" w:hAnsi="Times New Roman" w:cs="Times New Roman"/>
                <w:noProof/>
                <w:sz w:val="24"/>
                <w:szCs w:val="24"/>
              </w:rPr>
              <w:t>Land Use</w:t>
            </w:r>
          </w:p>
        </w:tc>
        <w:tc>
          <w:tcPr>
            <w:tcW w:w="4218" w:type="dxa"/>
            <w:tcBorders>
              <w:top w:val="single" w:sz="4" w:space="0" w:color="auto"/>
              <w:bottom w:val="single" w:sz="4" w:space="0" w:color="auto"/>
            </w:tcBorders>
          </w:tcPr>
          <w:p w:rsidR="00B4442F" w:rsidRPr="00E10323" w:rsidRDefault="00B4442F" w:rsidP="00141F43">
            <w:pPr>
              <w:pStyle w:val="ListParagraph"/>
              <w:spacing w:line="360" w:lineRule="auto"/>
              <w:ind w:left="0"/>
              <w:contextualSpacing w:val="0"/>
              <w:jc w:val="center"/>
              <w:rPr>
                <w:rFonts w:ascii="Times New Roman" w:hAnsi="Times New Roman" w:cs="Times New Roman"/>
                <w:noProof/>
                <w:sz w:val="24"/>
                <w:szCs w:val="24"/>
              </w:rPr>
            </w:pPr>
            <w:r>
              <w:rPr>
                <w:rFonts w:ascii="Times New Roman" w:hAnsi="Times New Roman" w:cs="Times New Roman"/>
                <w:noProof/>
                <w:sz w:val="24"/>
                <w:szCs w:val="24"/>
              </w:rPr>
              <w:t>Species</w:t>
            </w:r>
          </w:p>
        </w:tc>
      </w:tr>
      <w:tr w:rsidR="00B4442F" w:rsidRPr="0045337A" w:rsidTr="00141F43">
        <w:tc>
          <w:tcPr>
            <w:tcW w:w="851" w:type="dxa"/>
            <w:tcBorders>
              <w:top w:val="single" w:sz="4" w:space="0" w:color="auto"/>
            </w:tcBorders>
          </w:tcPr>
          <w:p w:rsidR="00B4442F" w:rsidRPr="00E10323" w:rsidRDefault="00B4442F" w:rsidP="00141F43">
            <w:pPr>
              <w:pStyle w:val="ListParagraph"/>
              <w:spacing w:line="360" w:lineRule="auto"/>
              <w:ind w:left="0"/>
              <w:contextualSpacing w:val="0"/>
              <w:jc w:val="center"/>
              <w:rPr>
                <w:rFonts w:ascii="Times New Roman" w:hAnsi="Times New Roman" w:cs="Times New Roman"/>
                <w:noProof/>
                <w:sz w:val="24"/>
                <w:szCs w:val="24"/>
              </w:rPr>
            </w:pPr>
            <w:r w:rsidRPr="00E10323">
              <w:rPr>
                <w:rFonts w:ascii="Times New Roman" w:hAnsi="Times New Roman" w:cs="Times New Roman"/>
                <w:noProof/>
                <w:sz w:val="24"/>
                <w:szCs w:val="24"/>
              </w:rPr>
              <w:t>1.</w:t>
            </w:r>
          </w:p>
        </w:tc>
        <w:tc>
          <w:tcPr>
            <w:tcW w:w="3436" w:type="dxa"/>
            <w:tcBorders>
              <w:top w:val="single" w:sz="4" w:space="0" w:color="auto"/>
            </w:tcBorders>
          </w:tcPr>
          <w:p w:rsidR="00B4442F" w:rsidRPr="00E10323" w:rsidRDefault="00B4442F" w:rsidP="00141F43">
            <w:pPr>
              <w:pStyle w:val="ListParagraph"/>
              <w:spacing w:line="360" w:lineRule="auto"/>
              <w:ind w:left="0"/>
              <w:contextualSpacing w:val="0"/>
              <w:jc w:val="both"/>
              <w:rPr>
                <w:rFonts w:ascii="Times New Roman" w:hAnsi="Times New Roman" w:cs="Times New Roman"/>
                <w:noProof/>
                <w:sz w:val="24"/>
                <w:szCs w:val="24"/>
              </w:rPr>
            </w:pPr>
            <w:r w:rsidRPr="00B4442F">
              <w:rPr>
                <w:rFonts w:ascii="Times New Roman" w:hAnsi="Times New Roman" w:cs="Times New Roman"/>
                <w:noProof/>
                <w:sz w:val="24"/>
                <w:szCs w:val="24"/>
              </w:rPr>
              <w:t>Rice Field (LS)</w:t>
            </w:r>
          </w:p>
        </w:tc>
        <w:tc>
          <w:tcPr>
            <w:tcW w:w="4218" w:type="dxa"/>
            <w:tcBorders>
              <w:top w:val="single" w:sz="4" w:space="0" w:color="auto"/>
            </w:tcBorders>
          </w:tcPr>
          <w:p w:rsidR="00B4442F" w:rsidRPr="00E10323" w:rsidRDefault="00B4442F" w:rsidP="00141F43">
            <w:pPr>
              <w:spacing w:line="360" w:lineRule="auto"/>
              <w:rPr>
                <w:rFonts w:ascii="Times New Roman" w:hAnsi="Times New Roman" w:cs="Times New Roman"/>
                <w:sz w:val="24"/>
                <w:szCs w:val="24"/>
              </w:rPr>
            </w:pPr>
            <w:r w:rsidRPr="00E10323">
              <w:rPr>
                <w:rFonts w:ascii="Times New Roman" w:hAnsi="Times New Roman" w:cs="Times New Roman"/>
                <w:i/>
                <w:sz w:val="24"/>
                <w:szCs w:val="24"/>
              </w:rPr>
              <w:t>Aspergillus ibericus</w:t>
            </w:r>
            <w:r w:rsidRPr="00E10323">
              <w:rPr>
                <w:rFonts w:ascii="Times New Roman" w:hAnsi="Times New Roman" w:cs="Times New Roman"/>
                <w:sz w:val="24"/>
                <w:szCs w:val="24"/>
              </w:rPr>
              <w:t xml:space="preserve"> dan </w:t>
            </w:r>
            <w:r w:rsidRPr="00E10323">
              <w:rPr>
                <w:rFonts w:ascii="Times New Roman" w:hAnsi="Times New Roman" w:cs="Times New Roman"/>
                <w:i/>
                <w:sz w:val="24"/>
                <w:szCs w:val="24"/>
              </w:rPr>
              <w:t>Aspergillus flavus</w:t>
            </w:r>
          </w:p>
        </w:tc>
      </w:tr>
      <w:tr w:rsidR="00B4442F" w:rsidRPr="0045337A" w:rsidTr="00141F43">
        <w:tc>
          <w:tcPr>
            <w:tcW w:w="851" w:type="dxa"/>
          </w:tcPr>
          <w:p w:rsidR="00B4442F" w:rsidRPr="00E10323" w:rsidRDefault="00B4442F" w:rsidP="00141F43">
            <w:pPr>
              <w:pStyle w:val="ListParagraph"/>
              <w:spacing w:line="360" w:lineRule="auto"/>
              <w:ind w:left="0"/>
              <w:contextualSpacing w:val="0"/>
              <w:jc w:val="center"/>
              <w:rPr>
                <w:rFonts w:ascii="Times New Roman" w:hAnsi="Times New Roman" w:cs="Times New Roman"/>
                <w:noProof/>
                <w:sz w:val="24"/>
                <w:szCs w:val="24"/>
              </w:rPr>
            </w:pPr>
            <w:r w:rsidRPr="00E10323">
              <w:rPr>
                <w:rFonts w:ascii="Times New Roman" w:hAnsi="Times New Roman" w:cs="Times New Roman"/>
                <w:noProof/>
                <w:sz w:val="24"/>
                <w:szCs w:val="24"/>
              </w:rPr>
              <w:t>2.</w:t>
            </w:r>
          </w:p>
        </w:tc>
        <w:tc>
          <w:tcPr>
            <w:tcW w:w="3436" w:type="dxa"/>
          </w:tcPr>
          <w:p w:rsidR="00B4442F" w:rsidRPr="00E10323" w:rsidRDefault="00B4442F" w:rsidP="00141F43">
            <w:pPr>
              <w:pStyle w:val="ListParagraph"/>
              <w:spacing w:line="360" w:lineRule="auto"/>
              <w:ind w:left="0"/>
              <w:contextualSpacing w:val="0"/>
              <w:jc w:val="both"/>
              <w:rPr>
                <w:rFonts w:ascii="Times New Roman" w:hAnsi="Times New Roman" w:cs="Times New Roman"/>
                <w:noProof/>
                <w:sz w:val="24"/>
                <w:szCs w:val="24"/>
              </w:rPr>
            </w:pPr>
            <w:r w:rsidRPr="00B4442F">
              <w:rPr>
                <w:rFonts w:ascii="Times New Roman" w:hAnsi="Times New Roman" w:cs="Times New Roman"/>
                <w:noProof/>
                <w:sz w:val="24"/>
                <w:szCs w:val="24"/>
              </w:rPr>
              <w:t>Forest Land (LH)</w:t>
            </w:r>
          </w:p>
        </w:tc>
        <w:tc>
          <w:tcPr>
            <w:tcW w:w="4218" w:type="dxa"/>
          </w:tcPr>
          <w:p w:rsidR="00B4442F" w:rsidRPr="00E10323" w:rsidRDefault="00B4442F" w:rsidP="00141F43">
            <w:pPr>
              <w:spacing w:line="360" w:lineRule="auto"/>
              <w:rPr>
                <w:rFonts w:ascii="Times New Roman" w:hAnsi="Times New Roman" w:cs="Times New Roman"/>
                <w:sz w:val="24"/>
                <w:szCs w:val="24"/>
              </w:rPr>
            </w:pPr>
            <w:r w:rsidRPr="00E10323">
              <w:rPr>
                <w:rFonts w:ascii="Times New Roman" w:hAnsi="Times New Roman" w:cs="Times New Roman"/>
                <w:i/>
                <w:sz w:val="24"/>
                <w:szCs w:val="24"/>
              </w:rPr>
              <w:t>Aspergillus sp</w:t>
            </w:r>
            <w:r w:rsidRPr="00E10323">
              <w:rPr>
                <w:rFonts w:ascii="Times New Roman" w:hAnsi="Times New Roman" w:cs="Times New Roman"/>
                <w:sz w:val="24"/>
                <w:szCs w:val="24"/>
              </w:rPr>
              <w:t xml:space="preserve">., </w:t>
            </w:r>
            <w:r w:rsidRPr="00E10323">
              <w:rPr>
                <w:rFonts w:ascii="Times New Roman" w:hAnsi="Times New Roman" w:cs="Times New Roman"/>
                <w:i/>
                <w:sz w:val="24"/>
                <w:szCs w:val="24"/>
              </w:rPr>
              <w:t>Aspergillus ibericus</w:t>
            </w:r>
            <w:r w:rsidRPr="00E10323">
              <w:rPr>
                <w:rFonts w:ascii="Times New Roman" w:hAnsi="Times New Roman" w:cs="Times New Roman"/>
                <w:sz w:val="24"/>
                <w:szCs w:val="24"/>
              </w:rPr>
              <w:t xml:space="preserve">, </w:t>
            </w:r>
            <w:r w:rsidRPr="00E10323">
              <w:rPr>
                <w:rFonts w:ascii="Times New Roman" w:hAnsi="Times New Roman" w:cs="Times New Roman"/>
                <w:i/>
                <w:sz w:val="24"/>
                <w:szCs w:val="24"/>
              </w:rPr>
              <w:t>Aspergilus aculeatus</w:t>
            </w:r>
            <w:r w:rsidRPr="00E10323">
              <w:rPr>
                <w:rFonts w:ascii="Times New Roman" w:hAnsi="Times New Roman" w:cs="Times New Roman"/>
                <w:sz w:val="24"/>
                <w:szCs w:val="24"/>
              </w:rPr>
              <w:t xml:space="preserve">, dan </w:t>
            </w:r>
            <w:r w:rsidRPr="00E10323">
              <w:rPr>
                <w:rFonts w:ascii="Times New Roman" w:hAnsi="Times New Roman" w:cs="Times New Roman"/>
                <w:i/>
                <w:sz w:val="24"/>
                <w:szCs w:val="24"/>
              </w:rPr>
              <w:t>Aspergillus flavus</w:t>
            </w:r>
          </w:p>
        </w:tc>
      </w:tr>
      <w:tr w:rsidR="00B4442F" w:rsidRPr="0045337A" w:rsidTr="00141F43">
        <w:tc>
          <w:tcPr>
            <w:tcW w:w="851" w:type="dxa"/>
          </w:tcPr>
          <w:p w:rsidR="00B4442F" w:rsidRPr="00E10323" w:rsidRDefault="00B4442F" w:rsidP="00141F43">
            <w:pPr>
              <w:pStyle w:val="ListParagraph"/>
              <w:spacing w:line="360" w:lineRule="auto"/>
              <w:ind w:left="0"/>
              <w:contextualSpacing w:val="0"/>
              <w:jc w:val="center"/>
              <w:rPr>
                <w:rFonts w:ascii="Times New Roman" w:hAnsi="Times New Roman" w:cs="Times New Roman"/>
                <w:noProof/>
                <w:sz w:val="24"/>
                <w:szCs w:val="24"/>
              </w:rPr>
            </w:pPr>
            <w:r w:rsidRPr="00E10323">
              <w:rPr>
                <w:rFonts w:ascii="Times New Roman" w:hAnsi="Times New Roman" w:cs="Times New Roman"/>
                <w:noProof/>
                <w:sz w:val="24"/>
                <w:szCs w:val="24"/>
              </w:rPr>
              <w:t>3.</w:t>
            </w:r>
          </w:p>
        </w:tc>
        <w:tc>
          <w:tcPr>
            <w:tcW w:w="3436" w:type="dxa"/>
          </w:tcPr>
          <w:p w:rsidR="00B4442F" w:rsidRPr="00E10323" w:rsidRDefault="00B4442F" w:rsidP="00141F43">
            <w:pPr>
              <w:pStyle w:val="ListParagraph"/>
              <w:spacing w:line="360" w:lineRule="auto"/>
              <w:ind w:left="0"/>
              <w:contextualSpacing w:val="0"/>
              <w:jc w:val="both"/>
              <w:rPr>
                <w:rFonts w:ascii="Times New Roman" w:hAnsi="Times New Roman" w:cs="Times New Roman"/>
                <w:noProof/>
                <w:sz w:val="24"/>
                <w:szCs w:val="24"/>
              </w:rPr>
            </w:pPr>
            <w:r w:rsidRPr="00B4442F">
              <w:rPr>
                <w:rFonts w:ascii="Times New Roman" w:hAnsi="Times New Roman" w:cs="Times New Roman"/>
                <w:noProof/>
                <w:sz w:val="24"/>
                <w:szCs w:val="24"/>
              </w:rPr>
              <w:t>Vegetable Garden Land (LY)</w:t>
            </w:r>
          </w:p>
        </w:tc>
        <w:tc>
          <w:tcPr>
            <w:tcW w:w="4218" w:type="dxa"/>
          </w:tcPr>
          <w:p w:rsidR="00B4442F" w:rsidRPr="00E10323" w:rsidRDefault="00B4442F" w:rsidP="00141F43">
            <w:pPr>
              <w:spacing w:line="360" w:lineRule="auto"/>
              <w:rPr>
                <w:rFonts w:ascii="Times New Roman" w:hAnsi="Times New Roman" w:cs="Times New Roman"/>
                <w:sz w:val="24"/>
                <w:szCs w:val="24"/>
              </w:rPr>
            </w:pPr>
            <w:r w:rsidRPr="00E10323">
              <w:rPr>
                <w:rFonts w:ascii="Times New Roman" w:hAnsi="Times New Roman" w:cs="Times New Roman"/>
                <w:i/>
                <w:sz w:val="24"/>
                <w:szCs w:val="24"/>
              </w:rPr>
              <w:t>Aspergilus aculeatus</w:t>
            </w:r>
            <w:r w:rsidRPr="00E10323">
              <w:rPr>
                <w:rFonts w:ascii="Times New Roman" w:hAnsi="Times New Roman" w:cs="Times New Roman"/>
                <w:sz w:val="24"/>
                <w:szCs w:val="24"/>
              </w:rPr>
              <w:t xml:space="preserve"> dan </w:t>
            </w:r>
            <w:r w:rsidRPr="00E10323">
              <w:rPr>
                <w:rFonts w:ascii="Times New Roman" w:hAnsi="Times New Roman" w:cs="Times New Roman"/>
                <w:i/>
                <w:sz w:val="24"/>
                <w:szCs w:val="24"/>
              </w:rPr>
              <w:t>Aspergillus flavus</w:t>
            </w:r>
          </w:p>
        </w:tc>
      </w:tr>
      <w:tr w:rsidR="00B4442F" w:rsidRPr="0045337A" w:rsidTr="00141F43">
        <w:tc>
          <w:tcPr>
            <w:tcW w:w="851" w:type="dxa"/>
            <w:tcBorders>
              <w:bottom w:val="single" w:sz="4" w:space="0" w:color="auto"/>
            </w:tcBorders>
          </w:tcPr>
          <w:p w:rsidR="00B4442F" w:rsidRPr="00E10323" w:rsidRDefault="00B4442F" w:rsidP="00141F43">
            <w:pPr>
              <w:pStyle w:val="ListParagraph"/>
              <w:spacing w:line="360" w:lineRule="auto"/>
              <w:ind w:left="0"/>
              <w:contextualSpacing w:val="0"/>
              <w:jc w:val="center"/>
              <w:rPr>
                <w:rFonts w:ascii="Times New Roman" w:hAnsi="Times New Roman" w:cs="Times New Roman"/>
                <w:noProof/>
                <w:sz w:val="24"/>
                <w:szCs w:val="24"/>
              </w:rPr>
            </w:pPr>
            <w:r w:rsidRPr="00E10323">
              <w:rPr>
                <w:rFonts w:ascii="Times New Roman" w:hAnsi="Times New Roman" w:cs="Times New Roman"/>
                <w:noProof/>
                <w:sz w:val="24"/>
                <w:szCs w:val="24"/>
              </w:rPr>
              <w:t xml:space="preserve">4. </w:t>
            </w:r>
          </w:p>
        </w:tc>
        <w:tc>
          <w:tcPr>
            <w:tcW w:w="3436" w:type="dxa"/>
            <w:tcBorders>
              <w:bottom w:val="single" w:sz="4" w:space="0" w:color="auto"/>
            </w:tcBorders>
          </w:tcPr>
          <w:p w:rsidR="00B4442F" w:rsidRPr="00E10323" w:rsidRDefault="00B4442F" w:rsidP="00141F43">
            <w:pPr>
              <w:pStyle w:val="ListParagraph"/>
              <w:spacing w:line="360" w:lineRule="auto"/>
              <w:ind w:left="0"/>
              <w:contextualSpacing w:val="0"/>
              <w:jc w:val="both"/>
              <w:rPr>
                <w:rFonts w:ascii="Times New Roman" w:hAnsi="Times New Roman" w:cs="Times New Roman"/>
                <w:noProof/>
                <w:sz w:val="24"/>
                <w:szCs w:val="24"/>
              </w:rPr>
            </w:pPr>
            <w:r w:rsidRPr="00B4442F">
              <w:rPr>
                <w:rFonts w:ascii="Times New Roman" w:hAnsi="Times New Roman" w:cs="Times New Roman"/>
                <w:noProof/>
                <w:sz w:val="24"/>
                <w:szCs w:val="24"/>
              </w:rPr>
              <w:t>Residential Land (LP)</w:t>
            </w:r>
          </w:p>
        </w:tc>
        <w:tc>
          <w:tcPr>
            <w:tcW w:w="4218" w:type="dxa"/>
            <w:tcBorders>
              <w:bottom w:val="single" w:sz="4" w:space="0" w:color="auto"/>
            </w:tcBorders>
          </w:tcPr>
          <w:p w:rsidR="00B4442F" w:rsidRPr="00E10323" w:rsidRDefault="00B4442F" w:rsidP="00141F43">
            <w:pPr>
              <w:spacing w:line="360" w:lineRule="auto"/>
              <w:rPr>
                <w:rFonts w:ascii="Times New Roman" w:hAnsi="Times New Roman" w:cs="Times New Roman"/>
                <w:sz w:val="24"/>
                <w:szCs w:val="24"/>
              </w:rPr>
            </w:pPr>
            <w:r w:rsidRPr="00E10323">
              <w:rPr>
                <w:rFonts w:ascii="Times New Roman" w:hAnsi="Times New Roman" w:cs="Times New Roman"/>
                <w:i/>
                <w:sz w:val="24"/>
                <w:szCs w:val="24"/>
              </w:rPr>
              <w:t>Aspergilus aculeatus</w:t>
            </w:r>
            <w:r w:rsidRPr="00E10323">
              <w:rPr>
                <w:rFonts w:ascii="Times New Roman" w:hAnsi="Times New Roman" w:cs="Times New Roman"/>
                <w:sz w:val="24"/>
                <w:szCs w:val="24"/>
              </w:rPr>
              <w:t xml:space="preserve"> dan </w:t>
            </w:r>
            <w:r w:rsidRPr="00E10323">
              <w:rPr>
                <w:rFonts w:ascii="Times New Roman" w:hAnsi="Times New Roman" w:cs="Times New Roman"/>
                <w:i/>
                <w:sz w:val="24"/>
                <w:szCs w:val="24"/>
              </w:rPr>
              <w:t>Aspergillus flavus</w:t>
            </w:r>
          </w:p>
        </w:tc>
      </w:tr>
    </w:tbl>
    <w:p w:rsidR="00380A23" w:rsidRDefault="00B4442F" w:rsidP="00380A23">
      <w:pPr>
        <w:spacing w:after="120" w:line="480" w:lineRule="auto"/>
        <w:jc w:val="both"/>
        <w:rPr>
          <w:rFonts w:ascii="Times New Roman" w:hAnsi="Times New Roman" w:cs="Times New Roman"/>
          <w:sz w:val="24"/>
          <w:szCs w:val="24"/>
        </w:rPr>
      </w:pPr>
      <w:r w:rsidRPr="00B4442F">
        <w:rPr>
          <w:rFonts w:ascii="Times New Roman" w:hAnsi="Times New Roman" w:cs="Times New Roman"/>
          <w:sz w:val="24"/>
          <w:szCs w:val="24"/>
        </w:rPr>
        <w:t>Source: Primary Data</w:t>
      </w:r>
    </w:p>
    <w:p w:rsidR="00327BFB" w:rsidRDefault="00327BFB" w:rsidP="00327BFB">
      <w:pPr>
        <w:spacing w:after="0" w:line="480" w:lineRule="auto"/>
        <w:ind w:left="993" w:hanging="993"/>
        <w:jc w:val="both"/>
        <w:rPr>
          <w:rFonts w:ascii="Times New Roman" w:hAnsi="Times New Roman" w:cs="Times New Roman"/>
          <w:b/>
          <w:sz w:val="24"/>
          <w:szCs w:val="24"/>
        </w:rPr>
      </w:pPr>
      <w:r w:rsidRPr="00327BFB">
        <w:rPr>
          <w:rFonts w:ascii="Times New Roman" w:hAnsi="Times New Roman" w:cs="Times New Roman"/>
          <w:b/>
          <w:sz w:val="24"/>
          <w:szCs w:val="24"/>
        </w:rPr>
        <w:t>Initial Soil Characteristics of Planting Media</w:t>
      </w:r>
    </w:p>
    <w:p w:rsidR="008B7B4D" w:rsidRPr="00B13FF8" w:rsidRDefault="008B7B4D" w:rsidP="00327BFB">
      <w:pPr>
        <w:spacing w:after="0" w:line="240" w:lineRule="auto"/>
        <w:ind w:left="993" w:hanging="993"/>
        <w:jc w:val="both"/>
        <w:rPr>
          <w:rFonts w:ascii="Times New Roman" w:hAnsi="Times New Roman" w:cs="Times New Roman"/>
          <w:b/>
          <w:sz w:val="24"/>
          <w:szCs w:val="24"/>
        </w:rPr>
      </w:pPr>
      <w:r>
        <w:rPr>
          <w:rFonts w:ascii="Times New Roman" w:hAnsi="Times New Roman" w:cs="Times New Roman"/>
          <w:b/>
          <w:sz w:val="24"/>
          <w:szCs w:val="24"/>
        </w:rPr>
        <w:t>Table</w:t>
      </w:r>
      <w:r w:rsidR="009A0124">
        <w:rPr>
          <w:rFonts w:ascii="Times New Roman" w:hAnsi="Times New Roman" w:cs="Times New Roman"/>
          <w:b/>
          <w:sz w:val="24"/>
          <w:szCs w:val="24"/>
        </w:rPr>
        <w:t xml:space="preserve"> 6</w:t>
      </w:r>
      <w:r w:rsidRPr="00314B82">
        <w:rPr>
          <w:rFonts w:ascii="Times New Roman" w:hAnsi="Times New Roman" w:cs="Times New Roman"/>
          <w:b/>
          <w:sz w:val="24"/>
          <w:szCs w:val="24"/>
        </w:rPr>
        <w:t>.</w:t>
      </w:r>
      <w:r w:rsidRPr="00B13FF8">
        <w:rPr>
          <w:rFonts w:ascii="Times New Roman" w:hAnsi="Times New Roman" w:cs="Times New Roman"/>
          <w:sz w:val="24"/>
          <w:szCs w:val="24"/>
        </w:rPr>
        <w:t xml:space="preserve"> </w:t>
      </w:r>
      <w:r w:rsidR="00327BFB">
        <w:rPr>
          <w:rFonts w:ascii="Times New Roman" w:hAnsi="Times New Roman" w:cs="Times New Roman"/>
          <w:sz w:val="24"/>
          <w:szCs w:val="24"/>
        </w:rPr>
        <w:t>Results of Initial</w:t>
      </w:r>
      <w:r w:rsidRPr="008B7B4D">
        <w:rPr>
          <w:rFonts w:ascii="Times New Roman" w:hAnsi="Times New Roman" w:cs="Times New Roman"/>
          <w:sz w:val="24"/>
          <w:szCs w:val="24"/>
        </w:rPr>
        <w:t xml:space="preserve"> Soil Characteristics </w:t>
      </w:r>
      <w:r w:rsidR="00327BFB">
        <w:rPr>
          <w:rFonts w:ascii="Times New Roman" w:hAnsi="Times New Roman" w:cs="Times New Roman"/>
          <w:sz w:val="24"/>
          <w:szCs w:val="24"/>
        </w:rPr>
        <w:t>(before planting )</w:t>
      </w:r>
      <w:r w:rsidRPr="008B7B4D">
        <w:rPr>
          <w:rFonts w:ascii="Times New Roman" w:hAnsi="Times New Roman" w:cs="Times New Roman"/>
          <w:sz w:val="24"/>
          <w:szCs w:val="24"/>
        </w:rPr>
        <w:t>Analysis of Planting Media</w:t>
      </w:r>
    </w:p>
    <w:tbl>
      <w:tblPr>
        <w:tblStyle w:val="TableGrid"/>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410"/>
        <w:gridCol w:w="1082"/>
        <w:gridCol w:w="1489"/>
        <w:gridCol w:w="2673"/>
      </w:tblGrid>
      <w:tr w:rsidR="008B7B4D" w:rsidRPr="00B13FF8" w:rsidTr="00141F43">
        <w:tc>
          <w:tcPr>
            <w:tcW w:w="851" w:type="dxa"/>
            <w:tcBorders>
              <w:top w:val="single" w:sz="4" w:space="0" w:color="auto"/>
              <w:bottom w:val="single" w:sz="4" w:space="0" w:color="auto"/>
            </w:tcBorders>
          </w:tcPr>
          <w:p w:rsidR="008B7B4D" w:rsidRPr="00B13FF8" w:rsidRDefault="008B7B4D" w:rsidP="00141F43">
            <w:pPr>
              <w:pStyle w:val="ListParagraph"/>
              <w:spacing w:after="120" w:line="360" w:lineRule="auto"/>
              <w:ind w:left="0"/>
              <w:contextualSpacing w:val="0"/>
              <w:jc w:val="center"/>
              <w:rPr>
                <w:rFonts w:ascii="Times New Roman" w:hAnsi="Times New Roman" w:cs="Times New Roman"/>
                <w:sz w:val="24"/>
                <w:szCs w:val="24"/>
              </w:rPr>
            </w:pPr>
            <w:r w:rsidRPr="00B13FF8">
              <w:rPr>
                <w:rFonts w:ascii="Times New Roman" w:hAnsi="Times New Roman" w:cs="Times New Roman"/>
                <w:sz w:val="24"/>
                <w:szCs w:val="24"/>
              </w:rPr>
              <w:t>No</w:t>
            </w:r>
          </w:p>
        </w:tc>
        <w:tc>
          <w:tcPr>
            <w:tcW w:w="2410" w:type="dxa"/>
            <w:tcBorders>
              <w:top w:val="single" w:sz="4" w:space="0" w:color="auto"/>
              <w:bottom w:val="single" w:sz="4" w:space="0" w:color="auto"/>
            </w:tcBorders>
          </w:tcPr>
          <w:p w:rsidR="008B7B4D" w:rsidRPr="00B13FF8" w:rsidRDefault="008B7B4D" w:rsidP="00141F43">
            <w:pPr>
              <w:pStyle w:val="ListParagraph"/>
              <w:spacing w:after="120" w:line="360" w:lineRule="auto"/>
              <w:ind w:left="0"/>
              <w:contextualSpacing w:val="0"/>
              <w:jc w:val="center"/>
              <w:rPr>
                <w:rFonts w:ascii="Times New Roman" w:hAnsi="Times New Roman" w:cs="Times New Roman"/>
                <w:sz w:val="24"/>
                <w:szCs w:val="24"/>
              </w:rPr>
            </w:pPr>
            <w:r w:rsidRPr="00B13FF8">
              <w:rPr>
                <w:rFonts w:ascii="Times New Roman" w:hAnsi="Times New Roman" w:cs="Times New Roman"/>
                <w:sz w:val="24"/>
                <w:szCs w:val="24"/>
              </w:rPr>
              <w:t>Parameter</w:t>
            </w:r>
          </w:p>
        </w:tc>
        <w:tc>
          <w:tcPr>
            <w:tcW w:w="1082" w:type="dxa"/>
            <w:tcBorders>
              <w:top w:val="single" w:sz="4" w:space="0" w:color="auto"/>
              <w:bottom w:val="single" w:sz="4" w:space="0" w:color="auto"/>
            </w:tcBorders>
          </w:tcPr>
          <w:p w:rsidR="008B7B4D" w:rsidRPr="00B13FF8" w:rsidRDefault="008B7B4D" w:rsidP="00141F43">
            <w:pPr>
              <w:pStyle w:val="ListParagraph"/>
              <w:spacing w:after="120" w:line="360" w:lineRule="auto"/>
              <w:ind w:left="0"/>
              <w:contextualSpacing w:val="0"/>
              <w:jc w:val="center"/>
              <w:rPr>
                <w:rFonts w:ascii="Times New Roman" w:hAnsi="Times New Roman" w:cs="Times New Roman"/>
                <w:sz w:val="24"/>
                <w:szCs w:val="24"/>
              </w:rPr>
            </w:pPr>
            <w:r w:rsidRPr="008B7B4D">
              <w:rPr>
                <w:rFonts w:ascii="Times New Roman" w:hAnsi="Times New Roman" w:cs="Times New Roman"/>
                <w:sz w:val="24"/>
                <w:szCs w:val="24"/>
              </w:rPr>
              <w:t>Result</w:t>
            </w:r>
          </w:p>
        </w:tc>
        <w:tc>
          <w:tcPr>
            <w:tcW w:w="1489" w:type="dxa"/>
            <w:tcBorders>
              <w:top w:val="single" w:sz="4" w:space="0" w:color="auto"/>
              <w:bottom w:val="single" w:sz="4" w:space="0" w:color="auto"/>
            </w:tcBorders>
          </w:tcPr>
          <w:p w:rsidR="008B7B4D" w:rsidRPr="00B13FF8" w:rsidRDefault="008B7B4D" w:rsidP="00141F43">
            <w:pPr>
              <w:pStyle w:val="ListParagraph"/>
              <w:spacing w:after="120" w:line="360" w:lineRule="auto"/>
              <w:ind w:left="0"/>
              <w:contextualSpacing w:val="0"/>
              <w:jc w:val="center"/>
              <w:rPr>
                <w:rFonts w:ascii="Times New Roman" w:hAnsi="Times New Roman" w:cs="Times New Roman"/>
                <w:sz w:val="24"/>
                <w:szCs w:val="24"/>
              </w:rPr>
            </w:pPr>
            <w:r w:rsidRPr="008B7B4D">
              <w:rPr>
                <w:rFonts w:ascii="Times New Roman" w:hAnsi="Times New Roman" w:cs="Times New Roman"/>
                <w:sz w:val="24"/>
                <w:szCs w:val="24"/>
              </w:rPr>
              <w:t>Unit</w:t>
            </w:r>
          </w:p>
        </w:tc>
        <w:tc>
          <w:tcPr>
            <w:tcW w:w="2673" w:type="dxa"/>
            <w:tcBorders>
              <w:top w:val="single" w:sz="4" w:space="0" w:color="auto"/>
              <w:bottom w:val="single" w:sz="4" w:space="0" w:color="auto"/>
            </w:tcBorders>
          </w:tcPr>
          <w:p w:rsidR="008B7B4D" w:rsidRPr="00B13FF8" w:rsidRDefault="00F2328A" w:rsidP="00141F43">
            <w:pPr>
              <w:pStyle w:val="ListParagraph"/>
              <w:spacing w:after="120" w:line="360" w:lineRule="auto"/>
              <w:ind w:left="0"/>
              <w:contextualSpacing w:val="0"/>
              <w:jc w:val="center"/>
              <w:rPr>
                <w:rFonts w:ascii="Times New Roman" w:hAnsi="Times New Roman" w:cs="Times New Roman"/>
                <w:sz w:val="24"/>
                <w:szCs w:val="24"/>
              </w:rPr>
            </w:pPr>
            <w:r>
              <w:rPr>
                <w:rFonts w:ascii="Times New Roman" w:hAnsi="Times New Roman" w:cs="Times New Roman"/>
                <w:sz w:val="24"/>
              </w:rPr>
              <w:t>C</w:t>
            </w:r>
            <w:r w:rsidRPr="008B7B4D">
              <w:rPr>
                <w:rFonts w:ascii="Times New Roman" w:hAnsi="Times New Roman" w:cs="Times New Roman"/>
                <w:sz w:val="24"/>
              </w:rPr>
              <w:t>lass</w:t>
            </w:r>
            <w:r>
              <w:rPr>
                <w:rFonts w:ascii="Times New Roman" w:hAnsi="Times New Roman" w:cs="Times New Roman"/>
                <w:sz w:val="24"/>
              </w:rPr>
              <w:t>ified</w:t>
            </w:r>
          </w:p>
        </w:tc>
      </w:tr>
      <w:tr w:rsidR="008B7B4D" w:rsidRPr="00B13FF8" w:rsidTr="00141F43">
        <w:tc>
          <w:tcPr>
            <w:tcW w:w="851" w:type="dxa"/>
            <w:tcBorders>
              <w:top w:val="single" w:sz="4" w:space="0" w:color="auto"/>
            </w:tcBorders>
          </w:tcPr>
          <w:p w:rsidR="008B7B4D" w:rsidRPr="00B13FF8" w:rsidRDefault="008B7B4D" w:rsidP="00141F43">
            <w:pPr>
              <w:pStyle w:val="ListParagraph"/>
              <w:spacing w:after="120" w:line="360" w:lineRule="auto"/>
              <w:ind w:left="0"/>
              <w:contextualSpacing w:val="0"/>
              <w:jc w:val="center"/>
              <w:rPr>
                <w:rFonts w:ascii="Times New Roman" w:hAnsi="Times New Roman" w:cs="Times New Roman"/>
                <w:sz w:val="24"/>
                <w:szCs w:val="24"/>
              </w:rPr>
            </w:pPr>
            <w:r w:rsidRPr="00B13FF8">
              <w:rPr>
                <w:rFonts w:ascii="Times New Roman" w:hAnsi="Times New Roman" w:cs="Times New Roman"/>
                <w:sz w:val="24"/>
                <w:szCs w:val="24"/>
              </w:rPr>
              <w:t>1.</w:t>
            </w:r>
          </w:p>
        </w:tc>
        <w:tc>
          <w:tcPr>
            <w:tcW w:w="2410" w:type="dxa"/>
            <w:tcBorders>
              <w:top w:val="single" w:sz="4" w:space="0" w:color="auto"/>
            </w:tcBorders>
          </w:tcPr>
          <w:p w:rsidR="008B7B4D" w:rsidRPr="00B13FF8" w:rsidRDefault="008B7B4D" w:rsidP="00141F43">
            <w:pPr>
              <w:pStyle w:val="ListParagraph"/>
              <w:spacing w:after="120" w:line="360" w:lineRule="auto"/>
              <w:ind w:left="0"/>
              <w:contextualSpacing w:val="0"/>
              <w:jc w:val="both"/>
              <w:rPr>
                <w:rFonts w:ascii="Times New Roman" w:hAnsi="Times New Roman" w:cs="Times New Roman"/>
                <w:sz w:val="24"/>
                <w:szCs w:val="24"/>
              </w:rPr>
            </w:pPr>
            <w:r w:rsidRPr="00B13FF8">
              <w:rPr>
                <w:rFonts w:ascii="Times New Roman" w:hAnsi="Times New Roman" w:cs="Times New Roman"/>
                <w:sz w:val="24"/>
                <w:szCs w:val="24"/>
              </w:rPr>
              <w:t>pH</w:t>
            </w:r>
          </w:p>
        </w:tc>
        <w:tc>
          <w:tcPr>
            <w:tcW w:w="1082" w:type="dxa"/>
            <w:tcBorders>
              <w:top w:val="single" w:sz="4" w:space="0" w:color="auto"/>
            </w:tcBorders>
          </w:tcPr>
          <w:p w:rsidR="008B7B4D" w:rsidRPr="00B13FF8" w:rsidRDefault="008B7B4D" w:rsidP="00141F43">
            <w:pPr>
              <w:pStyle w:val="ListParagraph"/>
              <w:spacing w:after="120" w:line="360" w:lineRule="auto"/>
              <w:ind w:left="0"/>
              <w:contextualSpacing w:val="0"/>
              <w:jc w:val="center"/>
              <w:rPr>
                <w:rFonts w:ascii="Times New Roman" w:hAnsi="Times New Roman" w:cs="Times New Roman"/>
                <w:sz w:val="24"/>
                <w:szCs w:val="24"/>
              </w:rPr>
            </w:pPr>
            <w:r w:rsidRPr="00B13FF8">
              <w:rPr>
                <w:rFonts w:ascii="Times New Roman" w:hAnsi="Times New Roman" w:cs="Times New Roman"/>
                <w:sz w:val="24"/>
                <w:szCs w:val="24"/>
              </w:rPr>
              <w:t>6,19</w:t>
            </w:r>
          </w:p>
        </w:tc>
        <w:tc>
          <w:tcPr>
            <w:tcW w:w="1489" w:type="dxa"/>
            <w:tcBorders>
              <w:top w:val="single" w:sz="4" w:space="0" w:color="auto"/>
            </w:tcBorders>
          </w:tcPr>
          <w:p w:rsidR="008B7B4D" w:rsidRPr="00B13FF8" w:rsidRDefault="008B7B4D" w:rsidP="00141F43">
            <w:pPr>
              <w:pStyle w:val="ListParagraph"/>
              <w:spacing w:after="120" w:line="360" w:lineRule="auto"/>
              <w:ind w:left="0"/>
              <w:contextualSpacing w:val="0"/>
              <w:jc w:val="center"/>
              <w:rPr>
                <w:rFonts w:ascii="Times New Roman" w:hAnsi="Times New Roman" w:cs="Times New Roman"/>
                <w:sz w:val="24"/>
                <w:szCs w:val="24"/>
              </w:rPr>
            </w:pPr>
            <w:r w:rsidRPr="00B13FF8">
              <w:rPr>
                <w:rFonts w:ascii="Times New Roman" w:hAnsi="Times New Roman" w:cs="Times New Roman"/>
                <w:sz w:val="24"/>
                <w:szCs w:val="24"/>
              </w:rPr>
              <w:t>-</w:t>
            </w:r>
          </w:p>
        </w:tc>
        <w:tc>
          <w:tcPr>
            <w:tcW w:w="2673" w:type="dxa"/>
            <w:tcBorders>
              <w:top w:val="single" w:sz="4" w:space="0" w:color="auto"/>
            </w:tcBorders>
          </w:tcPr>
          <w:p w:rsidR="008B7B4D" w:rsidRPr="00B13FF8" w:rsidRDefault="008B7B4D" w:rsidP="00141F43">
            <w:pPr>
              <w:pStyle w:val="ListParagraph"/>
              <w:spacing w:after="120" w:line="360" w:lineRule="auto"/>
              <w:ind w:left="0"/>
              <w:contextualSpacing w:val="0"/>
              <w:jc w:val="center"/>
              <w:rPr>
                <w:rFonts w:ascii="Times New Roman" w:hAnsi="Times New Roman" w:cs="Times New Roman"/>
                <w:sz w:val="24"/>
                <w:szCs w:val="24"/>
              </w:rPr>
            </w:pPr>
            <w:r w:rsidRPr="008B7B4D">
              <w:rPr>
                <w:rFonts w:ascii="Times New Roman" w:hAnsi="Times New Roman" w:cs="Times New Roman"/>
                <w:sz w:val="24"/>
                <w:szCs w:val="24"/>
              </w:rPr>
              <w:t>Slightly acidic</w:t>
            </w:r>
          </w:p>
        </w:tc>
      </w:tr>
      <w:tr w:rsidR="008B7B4D" w:rsidRPr="00B13FF8" w:rsidTr="00141F43">
        <w:tc>
          <w:tcPr>
            <w:tcW w:w="851" w:type="dxa"/>
          </w:tcPr>
          <w:p w:rsidR="008B7B4D" w:rsidRPr="00B13FF8" w:rsidRDefault="008B7B4D" w:rsidP="00141F43">
            <w:pPr>
              <w:pStyle w:val="ListParagraph"/>
              <w:spacing w:after="120" w:line="360" w:lineRule="auto"/>
              <w:ind w:left="0"/>
              <w:contextualSpacing w:val="0"/>
              <w:jc w:val="center"/>
              <w:rPr>
                <w:rFonts w:ascii="Times New Roman" w:hAnsi="Times New Roman" w:cs="Times New Roman"/>
                <w:sz w:val="24"/>
                <w:szCs w:val="24"/>
              </w:rPr>
            </w:pPr>
            <w:r w:rsidRPr="00B13FF8">
              <w:rPr>
                <w:rFonts w:ascii="Times New Roman" w:hAnsi="Times New Roman" w:cs="Times New Roman"/>
                <w:sz w:val="24"/>
                <w:szCs w:val="24"/>
              </w:rPr>
              <w:t>2.</w:t>
            </w:r>
          </w:p>
        </w:tc>
        <w:tc>
          <w:tcPr>
            <w:tcW w:w="2410" w:type="dxa"/>
          </w:tcPr>
          <w:p w:rsidR="008B7B4D" w:rsidRPr="00B13FF8" w:rsidRDefault="008B7B4D" w:rsidP="00141F43">
            <w:pPr>
              <w:pStyle w:val="ListParagraph"/>
              <w:spacing w:after="12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C-Organic</w:t>
            </w:r>
          </w:p>
        </w:tc>
        <w:tc>
          <w:tcPr>
            <w:tcW w:w="1082" w:type="dxa"/>
          </w:tcPr>
          <w:p w:rsidR="008B7B4D" w:rsidRPr="00B13FF8" w:rsidRDefault="008B7B4D" w:rsidP="00141F43">
            <w:pPr>
              <w:pStyle w:val="ListParagraph"/>
              <w:spacing w:after="120" w:line="360" w:lineRule="auto"/>
              <w:ind w:left="0"/>
              <w:contextualSpacing w:val="0"/>
              <w:jc w:val="center"/>
              <w:rPr>
                <w:rFonts w:ascii="Times New Roman" w:hAnsi="Times New Roman" w:cs="Times New Roman"/>
                <w:sz w:val="24"/>
                <w:szCs w:val="24"/>
              </w:rPr>
            </w:pPr>
            <w:r w:rsidRPr="00B13FF8">
              <w:rPr>
                <w:rFonts w:ascii="Times New Roman" w:hAnsi="Times New Roman" w:cs="Times New Roman"/>
                <w:sz w:val="24"/>
                <w:szCs w:val="24"/>
              </w:rPr>
              <w:t>1,92</w:t>
            </w:r>
          </w:p>
        </w:tc>
        <w:tc>
          <w:tcPr>
            <w:tcW w:w="1489" w:type="dxa"/>
          </w:tcPr>
          <w:p w:rsidR="008B7B4D" w:rsidRPr="00B13FF8" w:rsidRDefault="008B7B4D" w:rsidP="00141F43">
            <w:pPr>
              <w:pStyle w:val="ListParagraph"/>
              <w:spacing w:after="120" w:line="360" w:lineRule="auto"/>
              <w:ind w:left="0"/>
              <w:contextualSpacing w:val="0"/>
              <w:jc w:val="center"/>
              <w:rPr>
                <w:rFonts w:ascii="Times New Roman" w:hAnsi="Times New Roman" w:cs="Times New Roman"/>
                <w:sz w:val="24"/>
                <w:szCs w:val="24"/>
              </w:rPr>
            </w:pPr>
            <w:r w:rsidRPr="00B13FF8">
              <w:rPr>
                <w:rFonts w:ascii="Times New Roman" w:hAnsi="Times New Roman" w:cs="Times New Roman"/>
                <w:sz w:val="24"/>
                <w:szCs w:val="24"/>
              </w:rPr>
              <w:t>%</w:t>
            </w:r>
          </w:p>
        </w:tc>
        <w:tc>
          <w:tcPr>
            <w:tcW w:w="2673" w:type="dxa"/>
          </w:tcPr>
          <w:p w:rsidR="008B7B4D" w:rsidRPr="00B13FF8" w:rsidRDefault="008B7B4D" w:rsidP="00141F43">
            <w:pPr>
              <w:pStyle w:val="ListParagraph"/>
              <w:spacing w:after="120" w:line="360" w:lineRule="auto"/>
              <w:ind w:left="0"/>
              <w:contextualSpacing w:val="0"/>
              <w:jc w:val="center"/>
              <w:rPr>
                <w:rFonts w:ascii="Times New Roman" w:hAnsi="Times New Roman" w:cs="Times New Roman"/>
                <w:sz w:val="24"/>
                <w:szCs w:val="24"/>
              </w:rPr>
            </w:pPr>
            <w:r w:rsidRPr="008B7B4D">
              <w:rPr>
                <w:rFonts w:ascii="Times New Roman" w:hAnsi="Times New Roman" w:cs="Times New Roman"/>
                <w:sz w:val="24"/>
                <w:szCs w:val="24"/>
              </w:rPr>
              <w:t>Low</w:t>
            </w:r>
          </w:p>
        </w:tc>
      </w:tr>
      <w:tr w:rsidR="008B7B4D" w:rsidRPr="00B13FF8" w:rsidTr="00141F43">
        <w:tc>
          <w:tcPr>
            <w:tcW w:w="851" w:type="dxa"/>
          </w:tcPr>
          <w:p w:rsidR="008B7B4D" w:rsidRPr="00B13FF8" w:rsidRDefault="008B7B4D" w:rsidP="00141F43">
            <w:pPr>
              <w:pStyle w:val="ListParagraph"/>
              <w:spacing w:after="120" w:line="360" w:lineRule="auto"/>
              <w:ind w:left="0"/>
              <w:contextualSpacing w:val="0"/>
              <w:jc w:val="center"/>
              <w:rPr>
                <w:rFonts w:ascii="Times New Roman" w:hAnsi="Times New Roman" w:cs="Times New Roman"/>
                <w:sz w:val="24"/>
                <w:szCs w:val="24"/>
              </w:rPr>
            </w:pPr>
            <w:r w:rsidRPr="00B13FF8">
              <w:rPr>
                <w:rFonts w:ascii="Times New Roman" w:hAnsi="Times New Roman" w:cs="Times New Roman"/>
                <w:sz w:val="24"/>
                <w:szCs w:val="24"/>
              </w:rPr>
              <w:t>3.</w:t>
            </w:r>
          </w:p>
        </w:tc>
        <w:tc>
          <w:tcPr>
            <w:tcW w:w="2410" w:type="dxa"/>
          </w:tcPr>
          <w:p w:rsidR="008B7B4D" w:rsidRPr="00B13FF8" w:rsidRDefault="008B7B4D" w:rsidP="00141F43">
            <w:pPr>
              <w:pStyle w:val="ListParagraph"/>
              <w:spacing w:after="120" w:line="360" w:lineRule="auto"/>
              <w:ind w:left="0"/>
              <w:contextualSpacing w:val="0"/>
              <w:jc w:val="both"/>
              <w:rPr>
                <w:rFonts w:ascii="Times New Roman" w:hAnsi="Times New Roman" w:cs="Times New Roman"/>
                <w:sz w:val="24"/>
                <w:szCs w:val="24"/>
              </w:rPr>
            </w:pPr>
            <w:r w:rsidRPr="00B13FF8">
              <w:rPr>
                <w:rFonts w:ascii="Times New Roman" w:hAnsi="Times New Roman" w:cs="Times New Roman"/>
                <w:sz w:val="24"/>
                <w:szCs w:val="24"/>
              </w:rPr>
              <w:t>N-Total</w:t>
            </w:r>
          </w:p>
        </w:tc>
        <w:tc>
          <w:tcPr>
            <w:tcW w:w="1082" w:type="dxa"/>
          </w:tcPr>
          <w:p w:rsidR="008B7B4D" w:rsidRPr="00B13FF8" w:rsidRDefault="008B7B4D" w:rsidP="00141F43">
            <w:pPr>
              <w:pStyle w:val="ListParagraph"/>
              <w:spacing w:after="120" w:line="360" w:lineRule="auto"/>
              <w:ind w:left="0"/>
              <w:contextualSpacing w:val="0"/>
              <w:jc w:val="center"/>
              <w:rPr>
                <w:rFonts w:ascii="Times New Roman" w:hAnsi="Times New Roman" w:cs="Times New Roman"/>
                <w:sz w:val="24"/>
                <w:szCs w:val="24"/>
              </w:rPr>
            </w:pPr>
            <w:r w:rsidRPr="00B13FF8">
              <w:rPr>
                <w:rFonts w:ascii="Times New Roman" w:hAnsi="Times New Roman" w:cs="Times New Roman"/>
                <w:sz w:val="24"/>
                <w:szCs w:val="24"/>
              </w:rPr>
              <w:t>0,06</w:t>
            </w:r>
          </w:p>
        </w:tc>
        <w:tc>
          <w:tcPr>
            <w:tcW w:w="1489" w:type="dxa"/>
          </w:tcPr>
          <w:p w:rsidR="008B7B4D" w:rsidRPr="00B13FF8" w:rsidRDefault="008B7B4D" w:rsidP="00141F43">
            <w:pPr>
              <w:pStyle w:val="ListParagraph"/>
              <w:spacing w:after="120" w:line="360" w:lineRule="auto"/>
              <w:ind w:left="0"/>
              <w:contextualSpacing w:val="0"/>
              <w:jc w:val="center"/>
              <w:rPr>
                <w:rFonts w:ascii="Times New Roman" w:hAnsi="Times New Roman" w:cs="Times New Roman"/>
                <w:sz w:val="24"/>
                <w:szCs w:val="24"/>
              </w:rPr>
            </w:pPr>
            <w:r w:rsidRPr="00B13FF8">
              <w:rPr>
                <w:rFonts w:ascii="Times New Roman" w:hAnsi="Times New Roman" w:cs="Times New Roman"/>
                <w:sz w:val="24"/>
                <w:szCs w:val="24"/>
              </w:rPr>
              <w:t>%</w:t>
            </w:r>
          </w:p>
        </w:tc>
        <w:tc>
          <w:tcPr>
            <w:tcW w:w="2673" w:type="dxa"/>
          </w:tcPr>
          <w:p w:rsidR="008B7B4D" w:rsidRPr="00B13FF8" w:rsidRDefault="008B7B4D" w:rsidP="00141F43">
            <w:pPr>
              <w:pStyle w:val="ListParagraph"/>
              <w:spacing w:after="120" w:line="360" w:lineRule="auto"/>
              <w:ind w:left="0"/>
              <w:contextualSpacing w:val="0"/>
              <w:jc w:val="center"/>
              <w:rPr>
                <w:rFonts w:ascii="Times New Roman" w:hAnsi="Times New Roman" w:cs="Times New Roman"/>
                <w:sz w:val="24"/>
                <w:szCs w:val="24"/>
              </w:rPr>
            </w:pPr>
            <w:r w:rsidRPr="008B7B4D">
              <w:rPr>
                <w:rFonts w:ascii="Times New Roman" w:hAnsi="Times New Roman" w:cs="Times New Roman"/>
                <w:sz w:val="24"/>
                <w:szCs w:val="24"/>
              </w:rPr>
              <w:t>Very low</w:t>
            </w:r>
          </w:p>
        </w:tc>
      </w:tr>
      <w:tr w:rsidR="008B7B4D" w:rsidRPr="00B13FF8" w:rsidTr="00141F43">
        <w:tc>
          <w:tcPr>
            <w:tcW w:w="851" w:type="dxa"/>
          </w:tcPr>
          <w:p w:rsidR="008B7B4D" w:rsidRPr="00B13FF8" w:rsidRDefault="008B7B4D" w:rsidP="00141F43">
            <w:pPr>
              <w:pStyle w:val="ListParagraph"/>
              <w:spacing w:after="120" w:line="360" w:lineRule="auto"/>
              <w:ind w:left="0"/>
              <w:contextualSpacing w:val="0"/>
              <w:jc w:val="center"/>
              <w:rPr>
                <w:rFonts w:ascii="Times New Roman" w:hAnsi="Times New Roman" w:cs="Times New Roman"/>
                <w:sz w:val="24"/>
                <w:szCs w:val="24"/>
              </w:rPr>
            </w:pPr>
            <w:r w:rsidRPr="00B13FF8">
              <w:rPr>
                <w:rFonts w:ascii="Times New Roman" w:hAnsi="Times New Roman" w:cs="Times New Roman"/>
                <w:sz w:val="24"/>
                <w:szCs w:val="24"/>
              </w:rPr>
              <w:t>4.</w:t>
            </w:r>
          </w:p>
        </w:tc>
        <w:tc>
          <w:tcPr>
            <w:tcW w:w="2410" w:type="dxa"/>
          </w:tcPr>
          <w:p w:rsidR="008B7B4D" w:rsidRPr="00B13FF8" w:rsidRDefault="008B7B4D" w:rsidP="00141F43">
            <w:pPr>
              <w:pStyle w:val="ListParagraph"/>
              <w:spacing w:after="120" w:line="360" w:lineRule="auto"/>
              <w:ind w:left="0"/>
              <w:contextualSpacing w:val="0"/>
              <w:jc w:val="both"/>
              <w:rPr>
                <w:rFonts w:ascii="Times New Roman" w:hAnsi="Times New Roman" w:cs="Times New Roman"/>
                <w:sz w:val="24"/>
                <w:szCs w:val="24"/>
              </w:rPr>
            </w:pPr>
            <w:r w:rsidRPr="008B7B4D">
              <w:rPr>
                <w:rFonts w:ascii="Times New Roman" w:hAnsi="Times New Roman" w:cs="Times New Roman"/>
                <w:sz w:val="24"/>
                <w:szCs w:val="24"/>
              </w:rPr>
              <w:t>P-Available</w:t>
            </w:r>
          </w:p>
        </w:tc>
        <w:tc>
          <w:tcPr>
            <w:tcW w:w="1082" w:type="dxa"/>
          </w:tcPr>
          <w:p w:rsidR="008B7B4D" w:rsidRPr="00B13FF8" w:rsidRDefault="008B7B4D" w:rsidP="00141F43">
            <w:pPr>
              <w:pStyle w:val="ListParagraph"/>
              <w:spacing w:after="120" w:line="360" w:lineRule="auto"/>
              <w:ind w:left="0"/>
              <w:contextualSpacing w:val="0"/>
              <w:jc w:val="center"/>
              <w:rPr>
                <w:rFonts w:ascii="Times New Roman" w:hAnsi="Times New Roman" w:cs="Times New Roman"/>
                <w:sz w:val="24"/>
                <w:szCs w:val="24"/>
              </w:rPr>
            </w:pPr>
            <w:r w:rsidRPr="00B13FF8">
              <w:rPr>
                <w:rFonts w:ascii="Times New Roman" w:hAnsi="Times New Roman" w:cs="Times New Roman"/>
                <w:sz w:val="24"/>
                <w:szCs w:val="24"/>
              </w:rPr>
              <w:t>1,72</w:t>
            </w:r>
          </w:p>
        </w:tc>
        <w:tc>
          <w:tcPr>
            <w:tcW w:w="1489" w:type="dxa"/>
          </w:tcPr>
          <w:p w:rsidR="008B7B4D" w:rsidRPr="00B13FF8" w:rsidRDefault="000A1EE2" w:rsidP="00141F43">
            <w:pPr>
              <w:pStyle w:val="ListParagraph"/>
              <w:spacing w:after="120"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p</w:t>
            </w:r>
            <w:r w:rsidR="008B7B4D" w:rsidRPr="00B13FF8">
              <w:rPr>
                <w:rFonts w:ascii="Times New Roman" w:hAnsi="Times New Roman" w:cs="Times New Roman"/>
                <w:sz w:val="24"/>
                <w:szCs w:val="24"/>
              </w:rPr>
              <w:t>pm</w:t>
            </w:r>
          </w:p>
        </w:tc>
        <w:tc>
          <w:tcPr>
            <w:tcW w:w="2673" w:type="dxa"/>
          </w:tcPr>
          <w:p w:rsidR="008B7B4D" w:rsidRPr="00B13FF8" w:rsidRDefault="008B7B4D" w:rsidP="00141F43">
            <w:pPr>
              <w:pStyle w:val="ListParagraph"/>
              <w:spacing w:after="120" w:line="360" w:lineRule="auto"/>
              <w:ind w:left="0"/>
              <w:contextualSpacing w:val="0"/>
              <w:jc w:val="center"/>
              <w:rPr>
                <w:rFonts w:ascii="Times New Roman" w:hAnsi="Times New Roman" w:cs="Times New Roman"/>
                <w:sz w:val="24"/>
                <w:szCs w:val="24"/>
              </w:rPr>
            </w:pPr>
            <w:r w:rsidRPr="008B7B4D">
              <w:rPr>
                <w:rFonts w:ascii="Times New Roman" w:hAnsi="Times New Roman" w:cs="Times New Roman"/>
                <w:sz w:val="24"/>
                <w:szCs w:val="24"/>
              </w:rPr>
              <w:t>Very low</w:t>
            </w:r>
          </w:p>
        </w:tc>
      </w:tr>
      <w:tr w:rsidR="008B7B4D" w:rsidRPr="00B13FF8" w:rsidTr="00141F43">
        <w:tc>
          <w:tcPr>
            <w:tcW w:w="851" w:type="dxa"/>
            <w:tcBorders>
              <w:bottom w:val="single" w:sz="4" w:space="0" w:color="auto"/>
            </w:tcBorders>
          </w:tcPr>
          <w:p w:rsidR="008B7B4D" w:rsidRPr="00B13FF8" w:rsidRDefault="008B7B4D" w:rsidP="00141F43">
            <w:pPr>
              <w:pStyle w:val="ListParagraph"/>
              <w:spacing w:after="120" w:line="360" w:lineRule="auto"/>
              <w:ind w:left="0"/>
              <w:contextualSpacing w:val="0"/>
              <w:jc w:val="center"/>
              <w:rPr>
                <w:rFonts w:ascii="Times New Roman" w:hAnsi="Times New Roman" w:cs="Times New Roman"/>
                <w:sz w:val="24"/>
                <w:szCs w:val="24"/>
              </w:rPr>
            </w:pPr>
            <w:r w:rsidRPr="00B13FF8">
              <w:rPr>
                <w:rFonts w:ascii="Times New Roman" w:hAnsi="Times New Roman" w:cs="Times New Roman"/>
                <w:sz w:val="24"/>
                <w:szCs w:val="24"/>
              </w:rPr>
              <w:t>5.</w:t>
            </w:r>
          </w:p>
        </w:tc>
        <w:tc>
          <w:tcPr>
            <w:tcW w:w="2410" w:type="dxa"/>
            <w:tcBorders>
              <w:bottom w:val="single" w:sz="4" w:space="0" w:color="auto"/>
            </w:tcBorders>
          </w:tcPr>
          <w:p w:rsidR="008B7B4D" w:rsidRPr="00B13FF8" w:rsidRDefault="008B7B4D" w:rsidP="00141F43">
            <w:pPr>
              <w:pStyle w:val="ListParagraph"/>
              <w:spacing w:after="120" w:line="360" w:lineRule="auto"/>
              <w:ind w:left="0"/>
              <w:contextualSpacing w:val="0"/>
              <w:jc w:val="both"/>
              <w:rPr>
                <w:rFonts w:ascii="Times New Roman" w:hAnsi="Times New Roman" w:cs="Times New Roman"/>
                <w:sz w:val="24"/>
                <w:szCs w:val="24"/>
              </w:rPr>
            </w:pPr>
            <w:r w:rsidRPr="008B7B4D">
              <w:rPr>
                <w:rFonts w:ascii="Times New Roman" w:hAnsi="Times New Roman" w:cs="Times New Roman"/>
                <w:sz w:val="24"/>
                <w:szCs w:val="24"/>
              </w:rPr>
              <w:t>K-Available</w:t>
            </w:r>
          </w:p>
        </w:tc>
        <w:tc>
          <w:tcPr>
            <w:tcW w:w="1082" w:type="dxa"/>
            <w:tcBorders>
              <w:bottom w:val="single" w:sz="4" w:space="0" w:color="auto"/>
            </w:tcBorders>
          </w:tcPr>
          <w:p w:rsidR="008B7B4D" w:rsidRPr="00B13FF8" w:rsidRDefault="008B7B4D" w:rsidP="00141F43">
            <w:pPr>
              <w:pStyle w:val="ListParagraph"/>
              <w:spacing w:after="120" w:line="360" w:lineRule="auto"/>
              <w:ind w:left="0"/>
              <w:contextualSpacing w:val="0"/>
              <w:jc w:val="center"/>
              <w:rPr>
                <w:rFonts w:ascii="Times New Roman" w:hAnsi="Times New Roman" w:cs="Times New Roman"/>
                <w:sz w:val="24"/>
                <w:szCs w:val="24"/>
              </w:rPr>
            </w:pPr>
            <w:r w:rsidRPr="00B13FF8">
              <w:rPr>
                <w:rFonts w:ascii="Times New Roman" w:hAnsi="Times New Roman" w:cs="Times New Roman"/>
                <w:sz w:val="24"/>
                <w:szCs w:val="24"/>
              </w:rPr>
              <w:t>0,13</w:t>
            </w:r>
          </w:p>
        </w:tc>
        <w:tc>
          <w:tcPr>
            <w:tcW w:w="1489" w:type="dxa"/>
            <w:tcBorders>
              <w:bottom w:val="single" w:sz="4" w:space="0" w:color="auto"/>
            </w:tcBorders>
          </w:tcPr>
          <w:p w:rsidR="008B7B4D" w:rsidRPr="00B13FF8" w:rsidRDefault="008B7B4D" w:rsidP="00141F43">
            <w:pPr>
              <w:pStyle w:val="ListParagraph"/>
              <w:spacing w:after="120" w:line="360" w:lineRule="auto"/>
              <w:ind w:left="0"/>
              <w:contextualSpacing w:val="0"/>
              <w:jc w:val="center"/>
              <w:rPr>
                <w:rFonts w:ascii="Times New Roman" w:hAnsi="Times New Roman" w:cs="Times New Roman"/>
                <w:sz w:val="24"/>
                <w:szCs w:val="24"/>
              </w:rPr>
            </w:pPr>
            <w:r w:rsidRPr="00B13FF8">
              <w:rPr>
                <w:rFonts w:ascii="Times New Roman" w:hAnsi="Times New Roman" w:cs="Times New Roman"/>
                <w:sz w:val="24"/>
                <w:szCs w:val="24"/>
              </w:rPr>
              <w:t>cmol/kg</w:t>
            </w:r>
          </w:p>
        </w:tc>
        <w:tc>
          <w:tcPr>
            <w:tcW w:w="2673" w:type="dxa"/>
            <w:tcBorders>
              <w:bottom w:val="single" w:sz="4" w:space="0" w:color="auto"/>
            </w:tcBorders>
          </w:tcPr>
          <w:p w:rsidR="008B7B4D" w:rsidRPr="00B13FF8" w:rsidRDefault="008B7B4D" w:rsidP="00141F43">
            <w:pPr>
              <w:pStyle w:val="ListParagraph"/>
              <w:spacing w:after="120" w:line="360" w:lineRule="auto"/>
              <w:ind w:left="0"/>
              <w:contextualSpacing w:val="0"/>
              <w:jc w:val="center"/>
              <w:rPr>
                <w:rFonts w:ascii="Times New Roman" w:hAnsi="Times New Roman" w:cs="Times New Roman"/>
                <w:sz w:val="24"/>
                <w:szCs w:val="24"/>
              </w:rPr>
            </w:pPr>
            <w:r w:rsidRPr="008B7B4D">
              <w:rPr>
                <w:rFonts w:ascii="Times New Roman" w:hAnsi="Times New Roman" w:cs="Times New Roman"/>
                <w:sz w:val="24"/>
                <w:szCs w:val="24"/>
              </w:rPr>
              <w:t>Low</w:t>
            </w:r>
          </w:p>
        </w:tc>
      </w:tr>
    </w:tbl>
    <w:p w:rsidR="008B7B4D" w:rsidRDefault="008B7B4D" w:rsidP="008B7B4D">
      <w:pPr>
        <w:spacing w:after="120" w:line="480" w:lineRule="auto"/>
        <w:jc w:val="both"/>
        <w:rPr>
          <w:rFonts w:ascii="Times New Roman" w:hAnsi="Times New Roman" w:cs="Times New Roman"/>
          <w:sz w:val="24"/>
          <w:szCs w:val="24"/>
        </w:rPr>
      </w:pPr>
      <w:r w:rsidRPr="00B4442F">
        <w:rPr>
          <w:rFonts w:ascii="Times New Roman" w:hAnsi="Times New Roman" w:cs="Times New Roman"/>
          <w:sz w:val="24"/>
          <w:szCs w:val="24"/>
        </w:rPr>
        <w:t>Source: Primary Data</w:t>
      </w:r>
    </w:p>
    <w:p w:rsidR="008B7B4D" w:rsidRDefault="000A1EE2" w:rsidP="008B7B4D">
      <w:pPr>
        <w:spacing w:after="120" w:line="480" w:lineRule="auto"/>
        <w:ind w:firstLine="567"/>
        <w:jc w:val="both"/>
        <w:rPr>
          <w:rFonts w:ascii="Times New Roman" w:hAnsi="Times New Roman" w:cs="Times New Roman"/>
          <w:sz w:val="24"/>
        </w:rPr>
      </w:pPr>
      <w:r w:rsidRPr="000A1EE2">
        <w:rPr>
          <w:rFonts w:ascii="Times New Roman" w:hAnsi="Times New Roman" w:cs="Times New Roman"/>
          <w:sz w:val="24"/>
        </w:rPr>
        <w:t xml:space="preserve">The initial soil analysis (Table 6) showed that the soil had a pH that was classified as </w:t>
      </w:r>
      <w:r>
        <w:rPr>
          <w:rFonts w:ascii="Times New Roman" w:hAnsi="Times New Roman" w:cs="Times New Roman"/>
          <w:sz w:val="24"/>
        </w:rPr>
        <w:t xml:space="preserve">slightly acidic, </w:t>
      </w:r>
      <w:r w:rsidR="008F4A5A">
        <w:rPr>
          <w:rFonts w:ascii="Times New Roman" w:hAnsi="Times New Roman" w:cs="Times New Roman"/>
          <w:sz w:val="24"/>
        </w:rPr>
        <w:t>which is</w:t>
      </w:r>
      <w:r w:rsidR="008B7B4D" w:rsidRPr="008B7B4D">
        <w:rPr>
          <w:rFonts w:ascii="Times New Roman" w:hAnsi="Times New Roman" w:cs="Times New Roman"/>
          <w:sz w:val="24"/>
        </w:rPr>
        <w:t xml:space="preserve"> 6.19. The C-Organic content of the soil is low at 1.92%. The content of nitrogen (N) and phosphorus (P) according to the results of the analysis is </w:t>
      </w:r>
      <w:r w:rsidR="008F4A5A">
        <w:rPr>
          <w:rFonts w:ascii="Times New Roman" w:hAnsi="Times New Roman" w:cs="Times New Roman"/>
          <w:sz w:val="24"/>
        </w:rPr>
        <w:t xml:space="preserve">in </w:t>
      </w:r>
      <w:r w:rsidR="008F4A5A">
        <w:rPr>
          <w:rFonts w:ascii="Times New Roman" w:hAnsi="Times New Roman" w:cs="Times New Roman"/>
          <w:sz w:val="24"/>
        </w:rPr>
        <w:lastRenderedPageBreak/>
        <w:t>the very low category, which is</w:t>
      </w:r>
      <w:r w:rsidR="008B7B4D" w:rsidRPr="008B7B4D">
        <w:rPr>
          <w:rFonts w:ascii="Times New Roman" w:hAnsi="Times New Roman" w:cs="Times New Roman"/>
          <w:sz w:val="24"/>
        </w:rPr>
        <w:t xml:space="preserve"> 0.06% for soil N-Total and 1.72 ppm for soil P-Available. The K-available content is low at 0.13 cmol/kg. From the preliminary analysis, it can be concluded that the soil still has a low fertility level.</w:t>
      </w:r>
    </w:p>
    <w:p w:rsidR="008A23A5" w:rsidRDefault="008A23A5" w:rsidP="008B7B4D">
      <w:pPr>
        <w:spacing w:after="0" w:line="480" w:lineRule="auto"/>
        <w:jc w:val="both"/>
        <w:rPr>
          <w:rFonts w:ascii="Times New Roman" w:hAnsi="Times New Roman" w:cs="Times New Roman"/>
          <w:b/>
          <w:sz w:val="24"/>
        </w:rPr>
      </w:pPr>
      <w:r w:rsidRPr="008A23A5">
        <w:rPr>
          <w:rFonts w:ascii="Times New Roman" w:hAnsi="Times New Roman" w:cs="Times New Roman"/>
          <w:b/>
          <w:sz w:val="24"/>
        </w:rPr>
        <w:t>Effect of Treatment on Final Soil Characteristics</w:t>
      </w:r>
      <w:r w:rsidR="00327BFB">
        <w:rPr>
          <w:rFonts w:ascii="Times New Roman" w:hAnsi="Times New Roman" w:cs="Times New Roman"/>
          <w:b/>
          <w:sz w:val="24"/>
        </w:rPr>
        <w:t xml:space="preserve"> (After Harvesting)</w:t>
      </w:r>
    </w:p>
    <w:p w:rsidR="008B7B4D" w:rsidRPr="002E636B" w:rsidRDefault="008A23A5" w:rsidP="008B7B4D">
      <w:pPr>
        <w:spacing w:after="0" w:line="480" w:lineRule="auto"/>
        <w:jc w:val="both"/>
        <w:rPr>
          <w:rFonts w:ascii="Times New Roman" w:hAnsi="Times New Roman" w:cs="Times New Roman"/>
          <w:i/>
          <w:sz w:val="24"/>
        </w:rPr>
      </w:pPr>
      <w:r>
        <w:rPr>
          <w:rFonts w:ascii="Times New Roman" w:hAnsi="Times New Roman" w:cs="Times New Roman"/>
          <w:i/>
          <w:sz w:val="24"/>
        </w:rPr>
        <w:t xml:space="preserve">Soil pH </w:t>
      </w:r>
      <w:r w:rsidR="008B7B4D" w:rsidRPr="002E636B">
        <w:rPr>
          <w:rFonts w:ascii="Times New Roman" w:hAnsi="Times New Roman" w:cs="Times New Roman"/>
          <w:i/>
          <w:sz w:val="24"/>
        </w:rPr>
        <w:t xml:space="preserve"> </w:t>
      </w:r>
    </w:p>
    <w:p w:rsidR="008B7B4D" w:rsidRDefault="008F4A5A" w:rsidP="008B7B4D">
      <w:pPr>
        <w:spacing w:after="0" w:line="240" w:lineRule="auto"/>
        <w:jc w:val="both"/>
        <w:rPr>
          <w:rFonts w:ascii="Times New Roman" w:hAnsi="Times New Roman" w:cs="Times New Roman"/>
          <w:sz w:val="24"/>
        </w:rPr>
      </w:pPr>
      <w:r>
        <w:rPr>
          <w:noProof/>
        </w:rPr>
        <w:drawing>
          <wp:inline distT="0" distB="0" distL="0" distR="0" wp14:anchorId="4E1E222C" wp14:editId="7511CE11">
            <wp:extent cx="3240000" cy="21600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B7B4D" w:rsidRDefault="008A23A5" w:rsidP="008B7B4D">
      <w:pPr>
        <w:spacing w:after="240" w:line="240" w:lineRule="auto"/>
        <w:jc w:val="both"/>
        <w:rPr>
          <w:rFonts w:ascii="Times New Roman" w:hAnsi="Times New Roman" w:cs="Times New Roman"/>
          <w:sz w:val="24"/>
        </w:rPr>
      </w:pPr>
      <w:r>
        <w:rPr>
          <w:rFonts w:ascii="Times New Roman" w:hAnsi="Times New Roman" w:cs="Times New Roman"/>
          <w:b/>
          <w:sz w:val="24"/>
        </w:rPr>
        <w:t>Figure</w:t>
      </w:r>
      <w:r w:rsidR="008B7B4D" w:rsidRPr="00314B82">
        <w:rPr>
          <w:rFonts w:ascii="Times New Roman" w:hAnsi="Times New Roman" w:cs="Times New Roman"/>
          <w:b/>
          <w:sz w:val="24"/>
        </w:rPr>
        <w:t xml:space="preserve"> 1</w:t>
      </w:r>
      <w:r w:rsidR="008B7B4D">
        <w:rPr>
          <w:rFonts w:ascii="Times New Roman" w:hAnsi="Times New Roman" w:cs="Times New Roman"/>
          <w:b/>
          <w:sz w:val="24"/>
        </w:rPr>
        <w:t>5</w:t>
      </w:r>
      <w:r w:rsidR="008B7B4D" w:rsidRPr="00314B82">
        <w:rPr>
          <w:rFonts w:ascii="Times New Roman" w:hAnsi="Times New Roman" w:cs="Times New Roman"/>
          <w:b/>
          <w:sz w:val="24"/>
        </w:rPr>
        <w:t>.</w:t>
      </w:r>
      <w:r w:rsidR="008B7B4D" w:rsidRPr="00B13FF8">
        <w:rPr>
          <w:rFonts w:ascii="Times New Roman" w:hAnsi="Times New Roman" w:cs="Times New Roman"/>
          <w:sz w:val="24"/>
        </w:rPr>
        <w:t xml:space="preserve"> </w:t>
      </w:r>
      <w:r w:rsidRPr="008A23A5">
        <w:rPr>
          <w:rFonts w:ascii="Times New Roman" w:hAnsi="Times New Roman" w:cs="Times New Roman"/>
          <w:sz w:val="24"/>
        </w:rPr>
        <w:t>Effect of Treatment on Soil pH</w:t>
      </w:r>
    </w:p>
    <w:p w:rsidR="008A23A5" w:rsidRPr="00734FF2" w:rsidRDefault="00412C83" w:rsidP="00734FF2">
      <w:pPr>
        <w:spacing w:after="240" w:line="480" w:lineRule="auto"/>
        <w:ind w:firstLine="567"/>
        <w:jc w:val="both"/>
        <w:rPr>
          <w:rFonts w:ascii="Times New Roman" w:hAnsi="Times New Roman" w:cs="Times New Roman"/>
          <w:sz w:val="24"/>
          <w:szCs w:val="24"/>
        </w:rPr>
      </w:pPr>
      <w:r w:rsidRPr="00412C83">
        <w:rPr>
          <w:rFonts w:ascii="Times New Roman" w:hAnsi="Times New Roman" w:cs="Times New Roman"/>
          <w:sz w:val="24"/>
          <w:szCs w:val="24"/>
        </w:rPr>
        <w:t xml:space="preserve">In general, the treatment can increase soil pH compared to the initial soil with a range of 4.6% to 10.3%. </w:t>
      </w:r>
      <w:r w:rsidR="00581A5B" w:rsidRPr="00581A5B">
        <w:rPr>
          <w:rFonts w:ascii="Times New Roman" w:hAnsi="Times New Roman" w:cs="Times New Roman"/>
          <w:sz w:val="24"/>
          <w:szCs w:val="24"/>
        </w:rPr>
        <w:t>ANOVA results showed that the application of fungal consortium as biofertilizer significantly affected soil pH (p&lt;0.05).</w:t>
      </w:r>
      <w:r w:rsidR="00581A5B">
        <w:rPr>
          <w:rFonts w:ascii="Times New Roman" w:hAnsi="Times New Roman" w:cs="Times New Roman"/>
          <w:sz w:val="24"/>
          <w:szCs w:val="24"/>
        </w:rPr>
        <w:t xml:space="preserve"> </w:t>
      </w:r>
      <w:r w:rsidRPr="00412C83">
        <w:rPr>
          <w:rFonts w:ascii="Times New Roman" w:hAnsi="Times New Roman" w:cs="Times New Roman"/>
          <w:sz w:val="24"/>
          <w:szCs w:val="24"/>
        </w:rPr>
        <w:t xml:space="preserve">Figure 15 shows that the </w:t>
      </w:r>
      <w:r w:rsidR="00581A5B" w:rsidRPr="00581A5B">
        <w:rPr>
          <w:rFonts w:ascii="Times New Roman" w:hAnsi="Times New Roman" w:cs="Times New Roman"/>
          <w:sz w:val="24"/>
          <w:szCs w:val="24"/>
        </w:rPr>
        <w:t>LH fungal consortium treatment could increase pH</w:t>
      </w:r>
      <w:r w:rsidR="00581A5B">
        <w:rPr>
          <w:rFonts w:ascii="Times New Roman" w:hAnsi="Times New Roman" w:cs="Times New Roman"/>
          <w:sz w:val="24"/>
          <w:szCs w:val="24"/>
        </w:rPr>
        <w:t xml:space="preserve"> </w:t>
      </w:r>
      <w:r w:rsidRPr="00412C83">
        <w:rPr>
          <w:rFonts w:ascii="Times New Roman" w:hAnsi="Times New Roman" w:cs="Times New Roman"/>
          <w:sz w:val="24"/>
          <w:szCs w:val="24"/>
        </w:rPr>
        <w:t>highest compared to the control and other treatments which was 10.3%. The soil pH value in the LH fungal consortium treatment was 6.83 (5.6% higher than the control). The results of DMRT analysis showed that the LH fungal consortium treatment was significantly different from t</w:t>
      </w:r>
      <w:r w:rsidR="00734FF2">
        <w:rPr>
          <w:rFonts w:ascii="Times New Roman" w:hAnsi="Times New Roman" w:cs="Times New Roman"/>
          <w:sz w:val="24"/>
          <w:szCs w:val="24"/>
        </w:rPr>
        <w:t>he control and other treatments.</w:t>
      </w:r>
    </w:p>
    <w:p w:rsidR="00AF35D8" w:rsidRDefault="00AF35D8" w:rsidP="008B7B4D">
      <w:pPr>
        <w:spacing w:after="0" w:line="480" w:lineRule="auto"/>
        <w:jc w:val="both"/>
        <w:rPr>
          <w:rFonts w:ascii="Times New Roman" w:hAnsi="Times New Roman" w:cs="Times New Roman"/>
          <w:i/>
          <w:sz w:val="24"/>
        </w:rPr>
      </w:pPr>
    </w:p>
    <w:p w:rsidR="00734FF2" w:rsidRDefault="00734FF2" w:rsidP="008B7B4D">
      <w:pPr>
        <w:spacing w:after="0" w:line="480" w:lineRule="auto"/>
        <w:jc w:val="both"/>
        <w:rPr>
          <w:rFonts w:ascii="Times New Roman" w:hAnsi="Times New Roman" w:cs="Times New Roman"/>
          <w:i/>
          <w:sz w:val="24"/>
        </w:rPr>
      </w:pPr>
    </w:p>
    <w:p w:rsidR="00734FF2" w:rsidRDefault="00734FF2" w:rsidP="008B7B4D">
      <w:pPr>
        <w:spacing w:after="0" w:line="480" w:lineRule="auto"/>
        <w:jc w:val="both"/>
        <w:rPr>
          <w:rFonts w:ascii="Times New Roman" w:hAnsi="Times New Roman" w:cs="Times New Roman"/>
          <w:i/>
          <w:sz w:val="24"/>
        </w:rPr>
      </w:pPr>
    </w:p>
    <w:p w:rsidR="00734FF2" w:rsidRDefault="00734FF2" w:rsidP="008B7B4D">
      <w:pPr>
        <w:spacing w:after="0" w:line="480" w:lineRule="auto"/>
        <w:jc w:val="both"/>
        <w:rPr>
          <w:rFonts w:ascii="Times New Roman" w:hAnsi="Times New Roman" w:cs="Times New Roman"/>
          <w:i/>
          <w:sz w:val="24"/>
        </w:rPr>
      </w:pPr>
    </w:p>
    <w:p w:rsidR="008B7B4D" w:rsidRPr="002E636B" w:rsidRDefault="006E2725" w:rsidP="008B7B4D">
      <w:pPr>
        <w:spacing w:after="0" w:line="480" w:lineRule="auto"/>
        <w:jc w:val="both"/>
        <w:rPr>
          <w:rFonts w:ascii="Times New Roman" w:hAnsi="Times New Roman" w:cs="Times New Roman"/>
          <w:i/>
          <w:sz w:val="24"/>
        </w:rPr>
      </w:pPr>
      <w:r>
        <w:rPr>
          <w:rFonts w:ascii="Times New Roman" w:hAnsi="Times New Roman" w:cs="Times New Roman"/>
          <w:i/>
          <w:sz w:val="24"/>
        </w:rPr>
        <w:lastRenderedPageBreak/>
        <w:t xml:space="preserve">Soil </w:t>
      </w:r>
      <w:r w:rsidR="00432E73">
        <w:rPr>
          <w:rFonts w:ascii="Times New Roman" w:hAnsi="Times New Roman" w:cs="Times New Roman"/>
          <w:i/>
          <w:sz w:val="24"/>
        </w:rPr>
        <w:t>C-Organic</w:t>
      </w:r>
      <w:r w:rsidR="008B7B4D" w:rsidRPr="002E636B">
        <w:rPr>
          <w:rFonts w:ascii="Times New Roman" w:hAnsi="Times New Roman" w:cs="Times New Roman"/>
          <w:i/>
          <w:sz w:val="24"/>
        </w:rPr>
        <w:t xml:space="preserve"> </w:t>
      </w:r>
    </w:p>
    <w:p w:rsidR="008B7B4D" w:rsidRDefault="006E2725" w:rsidP="008B7B4D">
      <w:pPr>
        <w:spacing w:after="0" w:line="240" w:lineRule="auto"/>
        <w:jc w:val="both"/>
        <w:rPr>
          <w:rFonts w:ascii="Times New Roman" w:hAnsi="Times New Roman" w:cs="Times New Roman"/>
          <w:sz w:val="24"/>
          <w:szCs w:val="24"/>
        </w:rPr>
      </w:pPr>
      <w:r>
        <w:rPr>
          <w:noProof/>
        </w:rPr>
        <w:drawing>
          <wp:inline distT="0" distB="0" distL="0" distR="0" wp14:anchorId="471B6B72" wp14:editId="01F5C544">
            <wp:extent cx="3240000" cy="18000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B7B4D" w:rsidRDefault="00432E73" w:rsidP="008B7B4D">
      <w:pPr>
        <w:spacing w:after="0" w:line="480" w:lineRule="auto"/>
        <w:rPr>
          <w:rFonts w:ascii="Times New Roman" w:hAnsi="Times New Roman" w:cs="Times New Roman"/>
          <w:sz w:val="24"/>
        </w:rPr>
      </w:pPr>
      <w:r>
        <w:rPr>
          <w:rFonts w:ascii="Times New Roman" w:hAnsi="Times New Roman" w:cs="Times New Roman"/>
          <w:b/>
          <w:sz w:val="24"/>
        </w:rPr>
        <w:t>Figure</w:t>
      </w:r>
      <w:r w:rsidR="008B7B4D">
        <w:rPr>
          <w:rFonts w:ascii="Times New Roman" w:hAnsi="Times New Roman" w:cs="Times New Roman"/>
          <w:b/>
          <w:sz w:val="24"/>
        </w:rPr>
        <w:t xml:space="preserve"> 16</w:t>
      </w:r>
      <w:r w:rsidR="008B7B4D" w:rsidRPr="006B1762">
        <w:rPr>
          <w:rFonts w:ascii="Times New Roman" w:hAnsi="Times New Roman" w:cs="Times New Roman"/>
          <w:b/>
          <w:sz w:val="24"/>
        </w:rPr>
        <w:t>.</w:t>
      </w:r>
      <w:r w:rsidR="008B7B4D" w:rsidRPr="00B13FF8">
        <w:rPr>
          <w:rFonts w:ascii="Times New Roman" w:hAnsi="Times New Roman" w:cs="Times New Roman"/>
          <w:sz w:val="24"/>
        </w:rPr>
        <w:t xml:space="preserve"> </w:t>
      </w:r>
      <w:r w:rsidRPr="00432E73">
        <w:rPr>
          <w:rFonts w:ascii="Times New Roman" w:hAnsi="Times New Roman" w:cs="Times New Roman"/>
          <w:sz w:val="24"/>
        </w:rPr>
        <w:t>Effect of Treatment on C-Organic</w:t>
      </w:r>
    </w:p>
    <w:p w:rsidR="00432E73" w:rsidRDefault="00432E73" w:rsidP="00432E73">
      <w:pPr>
        <w:spacing w:after="0" w:line="480" w:lineRule="auto"/>
        <w:ind w:firstLine="567"/>
        <w:jc w:val="both"/>
        <w:rPr>
          <w:rFonts w:ascii="Times New Roman" w:hAnsi="Times New Roman" w:cs="Times New Roman"/>
          <w:sz w:val="24"/>
          <w:szCs w:val="24"/>
        </w:rPr>
      </w:pPr>
      <w:r w:rsidRPr="00432E73">
        <w:rPr>
          <w:rFonts w:ascii="Times New Roman" w:hAnsi="Times New Roman" w:cs="Times New Roman"/>
          <w:sz w:val="24"/>
          <w:szCs w:val="24"/>
        </w:rPr>
        <w:t xml:space="preserve">In general, the treatment of fungal consortium caused a decrease in C-Organic content compared to the </w:t>
      </w:r>
      <w:r w:rsidR="00327BFB">
        <w:rPr>
          <w:rFonts w:ascii="Times New Roman" w:hAnsi="Times New Roman" w:cs="Times New Roman"/>
          <w:sz w:val="24"/>
        </w:rPr>
        <w:t>initial</w:t>
      </w:r>
      <w:r w:rsidRPr="00432E73">
        <w:rPr>
          <w:rFonts w:ascii="Times New Roman" w:hAnsi="Times New Roman" w:cs="Times New Roman"/>
          <w:sz w:val="24"/>
          <w:szCs w:val="24"/>
        </w:rPr>
        <w:t xml:space="preserve"> soil w</w:t>
      </w:r>
      <w:r w:rsidR="00383072">
        <w:rPr>
          <w:rFonts w:ascii="Times New Roman" w:hAnsi="Times New Roman" w:cs="Times New Roman"/>
          <w:sz w:val="24"/>
          <w:szCs w:val="24"/>
        </w:rPr>
        <w:t xml:space="preserve">ith a range of 41.6% to 44.8%. </w:t>
      </w:r>
      <w:r w:rsidRPr="00432E73">
        <w:rPr>
          <w:rFonts w:ascii="Times New Roman" w:hAnsi="Times New Roman" w:cs="Times New Roman"/>
          <w:sz w:val="24"/>
          <w:szCs w:val="24"/>
        </w:rPr>
        <w:t>ANOVA r</w:t>
      </w:r>
      <w:r w:rsidR="006E2725">
        <w:rPr>
          <w:rFonts w:ascii="Times New Roman" w:hAnsi="Times New Roman" w:cs="Times New Roman"/>
          <w:sz w:val="24"/>
          <w:szCs w:val="24"/>
        </w:rPr>
        <w:t>esults showed that the application</w:t>
      </w:r>
      <w:r w:rsidRPr="00432E73">
        <w:rPr>
          <w:rFonts w:ascii="Times New Roman" w:hAnsi="Times New Roman" w:cs="Times New Roman"/>
          <w:sz w:val="24"/>
          <w:szCs w:val="24"/>
        </w:rPr>
        <w:t xml:space="preserve"> of fungal consortium as biofertilizer interaction significantly affected </w:t>
      </w:r>
      <w:r w:rsidR="00D43997">
        <w:rPr>
          <w:rFonts w:ascii="Times New Roman" w:hAnsi="Times New Roman" w:cs="Times New Roman"/>
          <w:sz w:val="24"/>
          <w:szCs w:val="24"/>
        </w:rPr>
        <w:t xml:space="preserve">to </w:t>
      </w:r>
      <w:r w:rsidRPr="00432E73">
        <w:rPr>
          <w:rFonts w:ascii="Times New Roman" w:hAnsi="Times New Roman" w:cs="Times New Roman"/>
          <w:sz w:val="24"/>
          <w:szCs w:val="24"/>
        </w:rPr>
        <w:t xml:space="preserve">soil C-Organic (p&lt;0.05). </w:t>
      </w:r>
      <w:r w:rsidR="00734FF2" w:rsidRPr="00734FF2">
        <w:rPr>
          <w:rFonts w:ascii="Times New Roman" w:hAnsi="Times New Roman" w:cs="Times New Roman"/>
          <w:sz w:val="24"/>
          <w:szCs w:val="24"/>
        </w:rPr>
        <w:t>The study results showed that the highest decreased C-Organic occurred in the treatment of LH fungal con</w:t>
      </w:r>
      <w:r w:rsidR="00734FF2">
        <w:rPr>
          <w:rFonts w:ascii="Times New Roman" w:hAnsi="Times New Roman" w:cs="Times New Roman"/>
          <w:sz w:val="24"/>
          <w:szCs w:val="24"/>
        </w:rPr>
        <w:t xml:space="preserve">sortium which amounted to 44.8%, </w:t>
      </w:r>
      <w:r w:rsidR="00D43997">
        <w:rPr>
          <w:rFonts w:ascii="Times New Roman" w:hAnsi="Times New Roman" w:cs="Times New Roman"/>
          <w:sz w:val="24"/>
          <w:szCs w:val="24"/>
        </w:rPr>
        <w:t>and the value of C-Organic was 1</w:t>
      </w:r>
      <w:r w:rsidR="0015045D">
        <w:rPr>
          <w:rFonts w:ascii="Times New Roman" w:hAnsi="Times New Roman" w:cs="Times New Roman"/>
          <w:sz w:val="24"/>
          <w:szCs w:val="24"/>
        </w:rPr>
        <w:t xml:space="preserve">.06% </w:t>
      </w:r>
      <w:r w:rsidR="00D43997">
        <w:rPr>
          <w:rFonts w:ascii="Times New Roman" w:hAnsi="Times New Roman" w:cs="Times New Roman"/>
          <w:sz w:val="24"/>
          <w:szCs w:val="24"/>
        </w:rPr>
        <w:t>which means 2,8% lower than the control.</w:t>
      </w:r>
      <w:r w:rsidRPr="00432E73">
        <w:rPr>
          <w:rFonts w:ascii="Times New Roman" w:hAnsi="Times New Roman" w:cs="Times New Roman"/>
          <w:sz w:val="24"/>
          <w:szCs w:val="24"/>
        </w:rPr>
        <w:t xml:space="preserve"> The results of DMRT analysis showed that the LH fungal consortium treatment was significantly different from the control and other treatments.</w:t>
      </w:r>
    </w:p>
    <w:p w:rsidR="008B7B4D" w:rsidRPr="002E636B" w:rsidRDefault="006E2725" w:rsidP="008B7B4D">
      <w:pPr>
        <w:spacing w:after="0" w:line="480" w:lineRule="auto"/>
        <w:jc w:val="both"/>
        <w:rPr>
          <w:rFonts w:ascii="Times New Roman" w:hAnsi="Times New Roman" w:cs="Times New Roman"/>
          <w:i/>
          <w:sz w:val="28"/>
        </w:rPr>
      </w:pPr>
      <w:r>
        <w:rPr>
          <w:rFonts w:ascii="Times New Roman" w:hAnsi="Times New Roman" w:cs="Times New Roman"/>
          <w:i/>
          <w:sz w:val="24"/>
        </w:rPr>
        <w:t xml:space="preserve">Soil </w:t>
      </w:r>
      <w:r w:rsidR="008B7B4D" w:rsidRPr="002E636B">
        <w:rPr>
          <w:rFonts w:ascii="Times New Roman" w:hAnsi="Times New Roman" w:cs="Times New Roman"/>
          <w:i/>
          <w:sz w:val="24"/>
        </w:rPr>
        <w:t xml:space="preserve">N-Total </w:t>
      </w:r>
    </w:p>
    <w:p w:rsidR="008B7B4D" w:rsidRDefault="006E2725" w:rsidP="008B7B4D">
      <w:pPr>
        <w:spacing w:after="0" w:line="240" w:lineRule="auto"/>
        <w:jc w:val="both"/>
        <w:rPr>
          <w:rFonts w:ascii="Times New Roman" w:hAnsi="Times New Roman" w:cs="Times New Roman"/>
          <w:sz w:val="24"/>
          <w:szCs w:val="24"/>
        </w:rPr>
      </w:pPr>
      <w:r>
        <w:rPr>
          <w:noProof/>
        </w:rPr>
        <w:drawing>
          <wp:inline distT="0" distB="0" distL="0" distR="0" wp14:anchorId="4C9D74CE" wp14:editId="4F96D808">
            <wp:extent cx="3240000" cy="21600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B7B4D" w:rsidRDefault="00F50E0F" w:rsidP="008B7B4D">
      <w:pPr>
        <w:spacing w:after="0" w:line="480" w:lineRule="auto"/>
        <w:rPr>
          <w:rFonts w:ascii="Times New Roman" w:hAnsi="Times New Roman" w:cs="Times New Roman"/>
          <w:sz w:val="24"/>
          <w:szCs w:val="24"/>
        </w:rPr>
      </w:pPr>
      <w:r>
        <w:rPr>
          <w:rFonts w:ascii="Times New Roman" w:hAnsi="Times New Roman" w:cs="Times New Roman"/>
          <w:b/>
          <w:sz w:val="24"/>
          <w:szCs w:val="24"/>
        </w:rPr>
        <w:t>Figure</w:t>
      </w:r>
      <w:r w:rsidR="008B7B4D">
        <w:rPr>
          <w:rFonts w:ascii="Times New Roman" w:hAnsi="Times New Roman" w:cs="Times New Roman"/>
          <w:b/>
          <w:sz w:val="24"/>
          <w:szCs w:val="24"/>
        </w:rPr>
        <w:t xml:space="preserve"> 17</w:t>
      </w:r>
      <w:r w:rsidR="008B7B4D" w:rsidRPr="006B1762">
        <w:rPr>
          <w:rFonts w:ascii="Times New Roman" w:hAnsi="Times New Roman" w:cs="Times New Roman"/>
          <w:b/>
          <w:sz w:val="24"/>
          <w:szCs w:val="24"/>
        </w:rPr>
        <w:t>.</w:t>
      </w:r>
      <w:r w:rsidR="008B7B4D" w:rsidRPr="00A17272">
        <w:rPr>
          <w:rFonts w:ascii="Times New Roman" w:hAnsi="Times New Roman" w:cs="Times New Roman"/>
          <w:sz w:val="24"/>
          <w:szCs w:val="24"/>
        </w:rPr>
        <w:t xml:space="preserve"> </w:t>
      </w:r>
      <w:r w:rsidRPr="00F50E0F">
        <w:rPr>
          <w:rFonts w:ascii="Times New Roman" w:hAnsi="Times New Roman" w:cs="Times New Roman"/>
          <w:sz w:val="24"/>
          <w:szCs w:val="24"/>
        </w:rPr>
        <w:t>Effect of Treatment on Soil N-Total</w:t>
      </w:r>
    </w:p>
    <w:p w:rsidR="00D4001F" w:rsidRDefault="007F2C5F" w:rsidP="00D4001F">
      <w:pPr>
        <w:spacing w:after="0" w:line="480" w:lineRule="auto"/>
        <w:ind w:firstLine="567"/>
        <w:jc w:val="both"/>
        <w:rPr>
          <w:rFonts w:ascii="Times New Roman" w:hAnsi="Times New Roman" w:cs="Times New Roman"/>
          <w:sz w:val="24"/>
          <w:szCs w:val="24"/>
        </w:rPr>
      </w:pPr>
      <w:r w:rsidRPr="007F2C5F">
        <w:rPr>
          <w:rFonts w:ascii="Times New Roman" w:hAnsi="Times New Roman" w:cs="Times New Roman"/>
          <w:sz w:val="24"/>
          <w:szCs w:val="24"/>
        </w:rPr>
        <w:lastRenderedPageBreak/>
        <w:t>In general, the fungal consortium treatment increased soil N-Total</w:t>
      </w:r>
      <w:r>
        <w:rPr>
          <w:rFonts w:ascii="Times New Roman" w:hAnsi="Times New Roman" w:cs="Times New Roman"/>
          <w:sz w:val="24"/>
          <w:szCs w:val="24"/>
        </w:rPr>
        <w:t xml:space="preserve"> </w:t>
      </w:r>
      <w:r w:rsidR="00F50E0F" w:rsidRPr="00F50E0F">
        <w:rPr>
          <w:rFonts w:ascii="Times New Roman" w:hAnsi="Times New Roman" w:cs="Times New Roman"/>
          <w:sz w:val="24"/>
          <w:szCs w:val="24"/>
        </w:rPr>
        <w:t xml:space="preserve">content compared to the </w:t>
      </w:r>
      <w:r w:rsidR="00327BFB">
        <w:rPr>
          <w:rFonts w:ascii="Times New Roman" w:hAnsi="Times New Roman" w:cs="Times New Roman"/>
          <w:sz w:val="24"/>
        </w:rPr>
        <w:t>initial</w:t>
      </w:r>
      <w:r w:rsidR="00F50E0F" w:rsidRPr="00F50E0F">
        <w:rPr>
          <w:rFonts w:ascii="Times New Roman" w:hAnsi="Times New Roman" w:cs="Times New Roman"/>
          <w:sz w:val="24"/>
          <w:szCs w:val="24"/>
        </w:rPr>
        <w:t xml:space="preserve"> soil with a range of 50% to 100%.  </w:t>
      </w:r>
      <w:r w:rsidRPr="007F2C5F">
        <w:rPr>
          <w:rFonts w:ascii="Times New Roman" w:hAnsi="Times New Roman" w:cs="Times New Roman"/>
          <w:sz w:val="24"/>
          <w:szCs w:val="24"/>
        </w:rPr>
        <w:t>The ANOVA results showed that the application of fungal consortium as biofertilizer significantly affected soil N-Total (p&lt;0.05). Figure 17 reveals the highest results were found in the treatment of LY fungal consortium.</w:t>
      </w:r>
      <w:r>
        <w:rPr>
          <w:rFonts w:ascii="Times New Roman" w:hAnsi="Times New Roman" w:cs="Times New Roman"/>
          <w:sz w:val="24"/>
          <w:szCs w:val="24"/>
        </w:rPr>
        <w:t xml:space="preserve"> </w:t>
      </w:r>
      <w:r w:rsidR="00F50E0F" w:rsidRPr="00F50E0F">
        <w:rPr>
          <w:rFonts w:ascii="Times New Roman" w:hAnsi="Times New Roman" w:cs="Times New Roman"/>
          <w:sz w:val="24"/>
          <w:szCs w:val="24"/>
        </w:rPr>
        <w:t>The N-Total value in the LY fungal</w:t>
      </w:r>
      <w:r w:rsidR="00AC1AFF">
        <w:rPr>
          <w:rFonts w:ascii="Times New Roman" w:hAnsi="Times New Roman" w:cs="Times New Roman"/>
          <w:sz w:val="24"/>
          <w:szCs w:val="24"/>
        </w:rPr>
        <w:t xml:space="preserve"> consortium treatment was 0.12% (33.3% higher than the control) and the incr</w:t>
      </w:r>
      <w:r w:rsidR="00D4001F">
        <w:rPr>
          <w:rFonts w:ascii="Times New Roman" w:hAnsi="Times New Roman" w:cs="Times New Roman"/>
          <w:sz w:val="24"/>
          <w:szCs w:val="24"/>
        </w:rPr>
        <w:t xml:space="preserve">ease was 100%. </w:t>
      </w:r>
      <w:r w:rsidR="00D4001F" w:rsidRPr="00D4001F">
        <w:rPr>
          <w:rFonts w:ascii="Times New Roman" w:hAnsi="Times New Roman" w:cs="Times New Roman"/>
          <w:sz w:val="24"/>
          <w:szCs w:val="24"/>
        </w:rPr>
        <w:t>DMRT results showed that the LY fungal consortium treatment was not significantly different from the LH fungal consortium treatment, but the difference was significant with the control and the other two treatments.</w:t>
      </w:r>
    </w:p>
    <w:p w:rsidR="008B7B4D" w:rsidRDefault="006E2725" w:rsidP="00D4001F">
      <w:pPr>
        <w:spacing w:after="0" w:line="480" w:lineRule="auto"/>
        <w:jc w:val="both"/>
        <w:rPr>
          <w:rFonts w:ascii="Times New Roman" w:hAnsi="Times New Roman" w:cs="Times New Roman"/>
          <w:i/>
          <w:color w:val="000000"/>
          <w:sz w:val="24"/>
          <w:szCs w:val="24"/>
        </w:rPr>
      </w:pPr>
      <w:r>
        <w:rPr>
          <w:rFonts w:ascii="Times New Roman" w:hAnsi="Times New Roman" w:cs="Times New Roman"/>
          <w:i/>
          <w:sz w:val="24"/>
          <w:szCs w:val="24"/>
        </w:rPr>
        <w:t xml:space="preserve">Soil </w:t>
      </w:r>
      <w:r w:rsidR="00F50E0F" w:rsidRPr="00F50E0F">
        <w:rPr>
          <w:rFonts w:ascii="Times New Roman" w:hAnsi="Times New Roman" w:cs="Times New Roman"/>
          <w:i/>
          <w:sz w:val="24"/>
          <w:szCs w:val="24"/>
        </w:rPr>
        <w:t>P-Available</w:t>
      </w:r>
      <w:r w:rsidR="00F50E0F" w:rsidRPr="00F50E0F">
        <w:rPr>
          <w:rFonts w:ascii="Times New Roman" w:hAnsi="Times New Roman" w:cs="Times New Roman"/>
          <w:i/>
          <w:color w:val="000000"/>
          <w:sz w:val="24"/>
          <w:szCs w:val="24"/>
        </w:rPr>
        <w:t xml:space="preserve"> </w:t>
      </w:r>
    </w:p>
    <w:p w:rsidR="008B7B4D" w:rsidRPr="006E2725" w:rsidRDefault="006E2725" w:rsidP="006E2725">
      <w:pPr>
        <w:spacing w:after="0" w:line="480" w:lineRule="auto"/>
        <w:jc w:val="both"/>
        <w:rPr>
          <w:rFonts w:ascii="Times New Roman" w:hAnsi="Times New Roman" w:cs="Times New Roman"/>
          <w:sz w:val="24"/>
          <w:szCs w:val="24"/>
        </w:rPr>
      </w:pPr>
      <w:r>
        <w:rPr>
          <w:noProof/>
        </w:rPr>
        <w:drawing>
          <wp:inline distT="0" distB="0" distL="0" distR="0" wp14:anchorId="68EA898A" wp14:editId="08AB5CC9">
            <wp:extent cx="3240000" cy="2160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50E0F" w:rsidRDefault="00F50E0F" w:rsidP="00F50E0F">
      <w:pPr>
        <w:spacing w:after="0" w:line="480" w:lineRule="auto"/>
        <w:rPr>
          <w:rFonts w:ascii="Times New Roman" w:hAnsi="Times New Roman" w:cs="Times New Roman"/>
          <w:sz w:val="24"/>
          <w:szCs w:val="24"/>
        </w:rPr>
      </w:pPr>
      <w:r>
        <w:rPr>
          <w:rFonts w:ascii="Times New Roman" w:hAnsi="Times New Roman" w:cs="Times New Roman"/>
          <w:b/>
          <w:sz w:val="24"/>
          <w:szCs w:val="24"/>
        </w:rPr>
        <w:t>Figure</w:t>
      </w:r>
      <w:r w:rsidR="008B7B4D">
        <w:rPr>
          <w:rFonts w:ascii="Times New Roman" w:hAnsi="Times New Roman" w:cs="Times New Roman"/>
          <w:b/>
          <w:sz w:val="24"/>
          <w:szCs w:val="24"/>
        </w:rPr>
        <w:t xml:space="preserve"> 18</w:t>
      </w:r>
      <w:r w:rsidR="008B7B4D" w:rsidRPr="006B1762">
        <w:rPr>
          <w:rFonts w:ascii="Times New Roman" w:hAnsi="Times New Roman" w:cs="Times New Roman"/>
          <w:b/>
          <w:sz w:val="24"/>
          <w:szCs w:val="24"/>
        </w:rPr>
        <w:t>.</w:t>
      </w:r>
      <w:r w:rsidR="008B7B4D" w:rsidRPr="00A76A65">
        <w:rPr>
          <w:rFonts w:ascii="Times New Roman" w:hAnsi="Times New Roman" w:cs="Times New Roman"/>
          <w:sz w:val="24"/>
          <w:szCs w:val="24"/>
        </w:rPr>
        <w:t xml:space="preserve"> </w:t>
      </w:r>
      <w:r w:rsidRPr="00F50E0F">
        <w:rPr>
          <w:rFonts w:ascii="Times New Roman" w:hAnsi="Times New Roman" w:cs="Times New Roman"/>
          <w:sz w:val="24"/>
          <w:szCs w:val="24"/>
        </w:rPr>
        <w:t>Effect of Treatment on Soil P-Available</w:t>
      </w:r>
    </w:p>
    <w:p w:rsidR="00D667FB" w:rsidRDefault="00F50E0F" w:rsidP="00D667FB">
      <w:pPr>
        <w:spacing w:after="0" w:line="480" w:lineRule="auto"/>
        <w:ind w:firstLine="567"/>
        <w:jc w:val="both"/>
        <w:rPr>
          <w:rFonts w:ascii="Times New Roman" w:hAnsi="Times New Roman" w:cs="Times New Roman"/>
          <w:sz w:val="24"/>
          <w:szCs w:val="24"/>
        </w:rPr>
      </w:pPr>
      <w:r w:rsidRPr="00F50E0F">
        <w:rPr>
          <w:rFonts w:ascii="Times New Roman" w:hAnsi="Times New Roman" w:cs="Times New Roman"/>
          <w:sz w:val="24"/>
          <w:szCs w:val="24"/>
        </w:rPr>
        <w:t xml:space="preserve">In general, the treatment of fungal consortium was able to increase the soil P-available content compared to the initial soil with a range of 25.6% to 48.3%. </w:t>
      </w:r>
      <w:r w:rsidR="00D4001F" w:rsidRPr="00D4001F">
        <w:rPr>
          <w:rFonts w:ascii="Times New Roman" w:hAnsi="Times New Roman" w:cs="Times New Roman"/>
          <w:sz w:val="24"/>
          <w:szCs w:val="24"/>
        </w:rPr>
        <w:t>The results of ANOVA showed that the application of fungal consortium as biofertilizer had a si</w:t>
      </w:r>
      <w:r w:rsidR="00D4001F">
        <w:rPr>
          <w:rFonts w:ascii="Times New Roman" w:hAnsi="Times New Roman" w:cs="Times New Roman"/>
          <w:sz w:val="24"/>
          <w:szCs w:val="24"/>
        </w:rPr>
        <w:t>gnificant interaction on soil P-</w:t>
      </w:r>
      <w:r w:rsidR="00D4001F" w:rsidRPr="00D4001F">
        <w:rPr>
          <w:rFonts w:ascii="Times New Roman" w:hAnsi="Times New Roman" w:cs="Times New Roman"/>
          <w:sz w:val="24"/>
          <w:szCs w:val="24"/>
        </w:rPr>
        <w:t>availability (p&lt;0.05).</w:t>
      </w:r>
      <w:r w:rsidR="00D4001F">
        <w:rPr>
          <w:rFonts w:ascii="Times New Roman" w:hAnsi="Times New Roman" w:cs="Times New Roman"/>
          <w:sz w:val="24"/>
          <w:szCs w:val="24"/>
        </w:rPr>
        <w:t xml:space="preserve"> </w:t>
      </w:r>
      <w:r w:rsidR="00D4001F" w:rsidRPr="00D4001F">
        <w:rPr>
          <w:rFonts w:ascii="Times New Roman" w:hAnsi="Times New Roman" w:cs="Times New Roman"/>
          <w:sz w:val="24"/>
          <w:szCs w:val="24"/>
        </w:rPr>
        <w:t>The highest was found in the LY fungal consortium treatment.</w:t>
      </w:r>
      <w:r w:rsidRPr="00F50E0F">
        <w:rPr>
          <w:rFonts w:ascii="Times New Roman" w:hAnsi="Times New Roman" w:cs="Times New Roman"/>
          <w:sz w:val="24"/>
          <w:szCs w:val="24"/>
        </w:rPr>
        <w:t xml:space="preserve"> The value of P-Available in the treatment of LY fungal consortium is 2.55 ppm</w:t>
      </w:r>
      <w:r w:rsidR="00852BDD">
        <w:rPr>
          <w:rFonts w:ascii="Times New Roman" w:hAnsi="Times New Roman" w:cs="Times New Roman"/>
          <w:sz w:val="24"/>
          <w:szCs w:val="24"/>
        </w:rPr>
        <w:t xml:space="preserve"> (18.1% higher than the control) and the increase was 48.3%. </w:t>
      </w:r>
      <w:r w:rsidR="00D667FB" w:rsidRPr="00D667FB">
        <w:rPr>
          <w:rFonts w:ascii="Times New Roman" w:hAnsi="Times New Roman" w:cs="Times New Roman"/>
          <w:sz w:val="24"/>
          <w:szCs w:val="24"/>
        </w:rPr>
        <w:lastRenderedPageBreak/>
        <w:t>The results of DMRT analysis showed that the treatment of LY fungal consortium significantly differed from the control and other treatments.</w:t>
      </w:r>
    </w:p>
    <w:p w:rsidR="008B7B4D" w:rsidRDefault="00383072" w:rsidP="00D667FB">
      <w:pPr>
        <w:spacing w:after="0"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Soil </w:t>
      </w:r>
      <w:r w:rsidR="00F50E0F" w:rsidRPr="00F50E0F">
        <w:rPr>
          <w:rFonts w:ascii="Times New Roman" w:hAnsi="Times New Roman" w:cs="Times New Roman"/>
          <w:i/>
          <w:sz w:val="24"/>
          <w:szCs w:val="24"/>
        </w:rPr>
        <w:t>K-Available</w:t>
      </w:r>
    </w:p>
    <w:p w:rsidR="008B7B4D" w:rsidRPr="00383072" w:rsidRDefault="00383072" w:rsidP="00383072">
      <w:pPr>
        <w:spacing w:after="0" w:line="480" w:lineRule="auto"/>
        <w:jc w:val="both"/>
        <w:rPr>
          <w:rFonts w:ascii="Times New Roman" w:hAnsi="Times New Roman" w:cs="Times New Roman"/>
          <w:i/>
          <w:sz w:val="24"/>
          <w:szCs w:val="24"/>
        </w:rPr>
      </w:pPr>
      <w:r>
        <w:rPr>
          <w:noProof/>
        </w:rPr>
        <w:drawing>
          <wp:inline distT="0" distB="0" distL="0" distR="0" wp14:anchorId="311342D8" wp14:editId="4AF8184F">
            <wp:extent cx="3240000" cy="21600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B7B4D" w:rsidRDefault="00F50E0F" w:rsidP="008B7B4D">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Figure</w:t>
      </w:r>
      <w:r w:rsidR="008B7B4D">
        <w:rPr>
          <w:rFonts w:ascii="Times New Roman" w:hAnsi="Times New Roman" w:cs="Times New Roman"/>
          <w:b/>
          <w:sz w:val="24"/>
          <w:szCs w:val="24"/>
        </w:rPr>
        <w:t xml:space="preserve"> 19</w:t>
      </w:r>
      <w:r w:rsidR="008B7B4D" w:rsidRPr="006B1762">
        <w:rPr>
          <w:rFonts w:ascii="Times New Roman" w:hAnsi="Times New Roman" w:cs="Times New Roman"/>
          <w:b/>
          <w:sz w:val="24"/>
          <w:szCs w:val="24"/>
        </w:rPr>
        <w:t>.</w:t>
      </w:r>
      <w:r w:rsidR="008B7B4D" w:rsidRPr="00A76A65">
        <w:rPr>
          <w:rFonts w:ascii="Times New Roman" w:hAnsi="Times New Roman" w:cs="Times New Roman"/>
          <w:sz w:val="24"/>
          <w:szCs w:val="24"/>
        </w:rPr>
        <w:t xml:space="preserve"> </w:t>
      </w:r>
      <w:r w:rsidRPr="00F50E0F">
        <w:rPr>
          <w:rFonts w:ascii="Times New Roman" w:hAnsi="Times New Roman" w:cs="Times New Roman"/>
          <w:sz w:val="24"/>
          <w:szCs w:val="24"/>
        </w:rPr>
        <w:t>Effect of Treatment on Soil K-Available</w:t>
      </w:r>
    </w:p>
    <w:p w:rsidR="009A0124" w:rsidRDefault="00F50E0F" w:rsidP="00CE49D8">
      <w:pPr>
        <w:spacing w:after="0" w:line="480" w:lineRule="auto"/>
        <w:ind w:firstLine="567"/>
        <w:jc w:val="both"/>
        <w:rPr>
          <w:rFonts w:ascii="Times New Roman" w:hAnsi="Times New Roman" w:cs="Times New Roman"/>
          <w:sz w:val="24"/>
          <w:szCs w:val="24"/>
        </w:rPr>
      </w:pPr>
      <w:r w:rsidRPr="00F50E0F">
        <w:rPr>
          <w:rFonts w:ascii="Times New Roman" w:hAnsi="Times New Roman" w:cs="Times New Roman"/>
          <w:sz w:val="24"/>
          <w:szCs w:val="24"/>
        </w:rPr>
        <w:t xml:space="preserve">In general, the fungal consortium treatment was able to increase the soil K-available content compared to the initial soil with a range of 61.5% to 130.7%. </w:t>
      </w:r>
      <w:r w:rsidR="00267412" w:rsidRPr="00267412">
        <w:rPr>
          <w:rFonts w:ascii="Times New Roman" w:hAnsi="Times New Roman" w:cs="Times New Roman"/>
          <w:sz w:val="24"/>
          <w:szCs w:val="24"/>
        </w:rPr>
        <w:t>ANOVA results showed that fungal consortium as biofertilizer application had a significant effect to soil K-available (p&lt;0.05). Based on the analysis, the increase in K-available was highest in the LH fungal consortium treatment, which amounted to 130.7%.</w:t>
      </w:r>
      <w:r w:rsidR="00E27353">
        <w:rPr>
          <w:rFonts w:ascii="Times New Roman" w:hAnsi="Times New Roman" w:cs="Times New Roman"/>
          <w:sz w:val="24"/>
          <w:szCs w:val="24"/>
        </w:rPr>
        <w:t xml:space="preserve">, and the value of </w:t>
      </w:r>
      <w:r w:rsidR="00F017BF" w:rsidRPr="00F50E0F">
        <w:rPr>
          <w:rFonts w:ascii="Times New Roman" w:hAnsi="Times New Roman" w:cs="Times New Roman"/>
          <w:sz w:val="24"/>
          <w:szCs w:val="24"/>
        </w:rPr>
        <w:t xml:space="preserve">K-Available </w:t>
      </w:r>
      <w:r w:rsidR="00E27353">
        <w:rPr>
          <w:rFonts w:ascii="Times New Roman" w:hAnsi="Times New Roman" w:cs="Times New Roman"/>
          <w:sz w:val="24"/>
          <w:szCs w:val="24"/>
        </w:rPr>
        <w:t xml:space="preserve">was </w:t>
      </w:r>
      <w:r w:rsidR="00F017BF">
        <w:rPr>
          <w:rFonts w:ascii="Times New Roman" w:hAnsi="Times New Roman" w:cs="Times New Roman"/>
          <w:sz w:val="24"/>
          <w:szCs w:val="24"/>
        </w:rPr>
        <w:t xml:space="preserve"> 0.30 cmol/kg which means 42.9% higher than the control. </w:t>
      </w:r>
      <w:r w:rsidR="00917B2D" w:rsidRPr="00917B2D">
        <w:rPr>
          <w:rFonts w:ascii="Times New Roman" w:hAnsi="Times New Roman" w:cs="Times New Roman"/>
          <w:sz w:val="24"/>
          <w:szCs w:val="24"/>
        </w:rPr>
        <w:t>The DMRT analysis showed that the treatment of LH fungal consortium showed a significant difference with the control, but the difference was not significant with the treatment of LY fungal consortium and LP fungal consortium.</w:t>
      </w:r>
    </w:p>
    <w:p w:rsidR="009A0124" w:rsidRDefault="009A0124" w:rsidP="00CE49D8">
      <w:pPr>
        <w:spacing w:after="0" w:line="480" w:lineRule="auto"/>
        <w:ind w:firstLine="567"/>
        <w:jc w:val="both"/>
        <w:rPr>
          <w:rFonts w:ascii="Times New Roman" w:hAnsi="Times New Roman" w:cs="Times New Roman"/>
          <w:sz w:val="24"/>
          <w:szCs w:val="24"/>
        </w:rPr>
      </w:pPr>
    </w:p>
    <w:p w:rsidR="009A0124" w:rsidRDefault="009A0124" w:rsidP="00CE49D8">
      <w:pPr>
        <w:spacing w:after="0" w:line="480" w:lineRule="auto"/>
        <w:ind w:firstLine="567"/>
        <w:jc w:val="both"/>
        <w:rPr>
          <w:rFonts w:ascii="Times New Roman" w:hAnsi="Times New Roman" w:cs="Times New Roman"/>
          <w:sz w:val="24"/>
          <w:szCs w:val="24"/>
        </w:rPr>
      </w:pPr>
    </w:p>
    <w:p w:rsidR="009A0124" w:rsidRDefault="009A0124" w:rsidP="00CE49D8">
      <w:pPr>
        <w:spacing w:after="0" w:line="480" w:lineRule="auto"/>
        <w:ind w:firstLine="567"/>
        <w:jc w:val="both"/>
        <w:rPr>
          <w:rFonts w:ascii="Times New Roman" w:hAnsi="Times New Roman" w:cs="Times New Roman"/>
          <w:sz w:val="24"/>
          <w:szCs w:val="24"/>
        </w:rPr>
      </w:pPr>
    </w:p>
    <w:p w:rsidR="00575B30" w:rsidRDefault="00575B30" w:rsidP="00CE49D8">
      <w:pPr>
        <w:spacing w:after="0" w:line="480" w:lineRule="auto"/>
        <w:ind w:firstLine="567"/>
        <w:jc w:val="both"/>
        <w:rPr>
          <w:rFonts w:ascii="Times New Roman" w:hAnsi="Times New Roman" w:cs="Times New Roman"/>
          <w:sz w:val="24"/>
          <w:szCs w:val="24"/>
        </w:rPr>
      </w:pPr>
    </w:p>
    <w:p w:rsidR="009A0124" w:rsidRDefault="009A0124" w:rsidP="00CE49D8">
      <w:pPr>
        <w:spacing w:after="0" w:line="480" w:lineRule="auto"/>
        <w:ind w:firstLine="567"/>
        <w:jc w:val="both"/>
        <w:rPr>
          <w:rFonts w:ascii="Times New Roman" w:hAnsi="Times New Roman" w:cs="Times New Roman"/>
          <w:sz w:val="24"/>
          <w:szCs w:val="24"/>
        </w:rPr>
      </w:pPr>
    </w:p>
    <w:p w:rsidR="000A288B" w:rsidRDefault="000A288B" w:rsidP="008B7B4D">
      <w:pPr>
        <w:spacing w:after="0" w:line="480" w:lineRule="auto"/>
        <w:jc w:val="both"/>
        <w:rPr>
          <w:rFonts w:ascii="Times New Roman" w:hAnsi="Times New Roman" w:cs="Times New Roman"/>
          <w:b/>
          <w:sz w:val="24"/>
        </w:rPr>
      </w:pPr>
      <w:r w:rsidRPr="000A288B">
        <w:rPr>
          <w:rFonts w:ascii="Times New Roman" w:hAnsi="Times New Roman" w:cs="Times New Roman"/>
          <w:b/>
          <w:sz w:val="24"/>
        </w:rPr>
        <w:lastRenderedPageBreak/>
        <w:t>Effect of Treatment on Plants</w:t>
      </w:r>
      <w:r w:rsidR="00000DBB">
        <w:rPr>
          <w:rFonts w:ascii="Times New Roman" w:hAnsi="Times New Roman" w:cs="Times New Roman"/>
          <w:b/>
          <w:sz w:val="24"/>
        </w:rPr>
        <w:t xml:space="preserve"> Growth</w:t>
      </w:r>
    </w:p>
    <w:p w:rsidR="008B7B4D" w:rsidRDefault="000A288B" w:rsidP="008B7B4D">
      <w:pPr>
        <w:spacing w:after="0" w:line="480" w:lineRule="auto"/>
        <w:jc w:val="both"/>
        <w:rPr>
          <w:rFonts w:ascii="Times New Roman" w:hAnsi="Times New Roman" w:cs="Times New Roman"/>
          <w:i/>
          <w:sz w:val="24"/>
        </w:rPr>
      </w:pPr>
      <w:r w:rsidRPr="000A288B">
        <w:rPr>
          <w:rFonts w:ascii="Times New Roman" w:hAnsi="Times New Roman" w:cs="Times New Roman"/>
          <w:i/>
          <w:sz w:val="24"/>
        </w:rPr>
        <w:t xml:space="preserve">Plant Height </w:t>
      </w:r>
    </w:p>
    <w:p w:rsidR="008B7B4D" w:rsidRPr="00383072" w:rsidRDefault="00383072" w:rsidP="00383072">
      <w:pPr>
        <w:spacing w:after="0" w:line="480" w:lineRule="auto"/>
        <w:jc w:val="both"/>
        <w:rPr>
          <w:rFonts w:ascii="Times New Roman" w:hAnsi="Times New Roman" w:cs="Times New Roman"/>
          <w:i/>
          <w:sz w:val="24"/>
        </w:rPr>
      </w:pPr>
      <w:r>
        <w:rPr>
          <w:noProof/>
        </w:rPr>
        <w:drawing>
          <wp:inline distT="0" distB="0" distL="0" distR="0" wp14:anchorId="2AC95F40" wp14:editId="0A57D7D8">
            <wp:extent cx="3240000" cy="21600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B7B4D" w:rsidRDefault="000A288B" w:rsidP="008B7B4D">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Figure</w:t>
      </w:r>
      <w:r w:rsidR="008B7B4D">
        <w:rPr>
          <w:rFonts w:ascii="Times New Roman" w:hAnsi="Times New Roman" w:cs="Times New Roman"/>
          <w:b/>
          <w:sz w:val="24"/>
          <w:szCs w:val="24"/>
        </w:rPr>
        <w:t xml:space="preserve"> 20</w:t>
      </w:r>
      <w:r w:rsidR="008B7B4D" w:rsidRPr="006B1762">
        <w:rPr>
          <w:rFonts w:ascii="Times New Roman" w:hAnsi="Times New Roman" w:cs="Times New Roman"/>
          <w:b/>
          <w:sz w:val="24"/>
          <w:szCs w:val="24"/>
        </w:rPr>
        <w:t>.</w:t>
      </w:r>
      <w:r w:rsidR="008B7B4D" w:rsidRPr="00A76A65">
        <w:rPr>
          <w:rFonts w:ascii="Times New Roman" w:hAnsi="Times New Roman" w:cs="Times New Roman"/>
          <w:sz w:val="24"/>
          <w:szCs w:val="24"/>
        </w:rPr>
        <w:t xml:space="preserve"> </w:t>
      </w:r>
      <w:r w:rsidRPr="000A288B">
        <w:rPr>
          <w:rFonts w:ascii="Times New Roman" w:hAnsi="Times New Roman" w:cs="Times New Roman"/>
          <w:sz w:val="24"/>
          <w:szCs w:val="24"/>
        </w:rPr>
        <w:t>Effect of Treatment on Plant Height</w:t>
      </w:r>
    </w:p>
    <w:p w:rsidR="000A288B" w:rsidRDefault="000A288B" w:rsidP="000A288B">
      <w:pPr>
        <w:spacing w:after="0" w:line="480" w:lineRule="auto"/>
        <w:ind w:firstLine="567"/>
        <w:jc w:val="both"/>
        <w:rPr>
          <w:rFonts w:ascii="Times New Roman" w:hAnsi="Times New Roman" w:cs="Times New Roman"/>
          <w:sz w:val="24"/>
          <w:szCs w:val="24"/>
        </w:rPr>
      </w:pPr>
      <w:r w:rsidRPr="000A288B">
        <w:rPr>
          <w:rFonts w:ascii="Times New Roman" w:hAnsi="Times New Roman" w:cs="Times New Roman"/>
          <w:sz w:val="24"/>
          <w:szCs w:val="24"/>
        </w:rPr>
        <w:t>ANOVA results showed that the treatment of fungal consortium as biofertilizer had a significant effect on plant height (p&lt;0.05). The results showed that the treatment of LH fungal consortium had the highest average value of 27 cm</w:t>
      </w:r>
      <w:r w:rsidR="005C1FB9">
        <w:rPr>
          <w:rFonts w:ascii="Times New Roman" w:hAnsi="Times New Roman" w:cs="Times New Roman"/>
          <w:sz w:val="24"/>
          <w:szCs w:val="24"/>
        </w:rPr>
        <w:t xml:space="preserve"> (35% higher than the control)</w:t>
      </w:r>
      <w:r w:rsidRPr="000A288B">
        <w:rPr>
          <w:rFonts w:ascii="Times New Roman" w:hAnsi="Times New Roman" w:cs="Times New Roman"/>
          <w:sz w:val="24"/>
          <w:szCs w:val="24"/>
        </w:rPr>
        <w:t>. Based on the DMRT results, the plant height by the LH fungal consortium treatment was not significantly different from the LY fungal consortium treatment, but the difference was significant with the control and the other two treatments.</w:t>
      </w:r>
    </w:p>
    <w:p w:rsidR="008B7B4D" w:rsidRPr="002E636B" w:rsidRDefault="000A288B" w:rsidP="008B7B4D">
      <w:pPr>
        <w:spacing w:after="0" w:line="480" w:lineRule="auto"/>
        <w:jc w:val="both"/>
        <w:rPr>
          <w:rFonts w:ascii="Times New Roman" w:hAnsi="Times New Roman" w:cs="Times New Roman"/>
          <w:i/>
          <w:sz w:val="24"/>
          <w:szCs w:val="24"/>
        </w:rPr>
      </w:pPr>
      <w:r w:rsidRPr="000A288B">
        <w:rPr>
          <w:rFonts w:ascii="Times New Roman" w:hAnsi="Times New Roman" w:cs="Times New Roman"/>
          <w:i/>
          <w:sz w:val="24"/>
          <w:szCs w:val="24"/>
        </w:rPr>
        <w:t>Number of Leaves</w:t>
      </w:r>
    </w:p>
    <w:p w:rsidR="008B7B4D" w:rsidRDefault="00383072" w:rsidP="008B7B4D">
      <w:pPr>
        <w:spacing w:after="0" w:line="240" w:lineRule="auto"/>
        <w:jc w:val="both"/>
        <w:rPr>
          <w:rFonts w:ascii="Times New Roman" w:hAnsi="Times New Roman" w:cs="Times New Roman"/>
          <w:sz w:val="24"/>
          <w:szCs w:val="24"/>
        </w:rPr>
      </w:pPr>
      <w:r>
        <w:rPr>
          <w:noProof/>
        </w:rPr>
        <w:drawing>
          <wp:inline distT="0" distB="0" distL="0" distR="0" wp14:anchorId="670038C8" wp14:editId="0E8F3D28">
            <wp:extent cx="3240000" cy="21600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A288B" w:rsidRDefault="000A288B" w:rsidP="000A288B">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Figure</w:t>
      </w:r>
      <w:r w:rsidR="008B7B4D">
        <w:rPr>
          <w:rFonts w:ascii="Times New Roman" w:hAnsi="Times New Roman" w:cs="Times New Roman"/>
          <w:b/>
          <w:sz w:val="24"/>
          <w:szCs w:val="24"/>
        </w:rPr>
        <w:t xml:space="preserve"> 21</w:t>
      </w:r>
      <w:r w:rsidR="008B7B4D" w:rsidRPr="006B1762">
        <w:rPr>
          <w:rFonts w:ascii="Times New Roman" w:hAnsi="Times New Roman" w:cs="Times New Roman"/>
          <w:b/>
          <w:sz w:val="24"/>
          <w:szCs w:val="24"/>
        </w:rPr>
        <w:t>.</w:t>
      </w:r>
      <w:r w:rsidR="008B7B4D" w:rsidRPr="00A76A65">
        <w:rPr>
          <w:rFonts w:ascii="Times New Roman" w:hAnsi="Times New Roman" w:cs="Times New Roman"/>
          <w:sz w:val="24"/>
          <w:szCs w:val="24"/>
        </w:rPr>
        <w:t xml:space="preserve"> </w:t>
      </w:r>
      <w:r w:rsidRPr="000A288B">
        <w:rPr>
          <w:rFonts w:ascii="Times New Roman" w:hAnsi="Times New Roman" w:cs="Times New Roman"/>
          <w:sz w:val="24"/>
          <w:szCs w:val="24"/>
        </w:rPr>
        <w:t>Effect of Treatment on Number of Leaves</w:t>
      </w:r>
    </w:p>
    <w:p w:rsidR="00CE49D8" w:rsidRDefault="000A288B" w:rsidP="00E92CCF">
      <w:pPr>
        <w:tabs>
          <w:tab w:val="left" w:pos="567"/>
        </w:tabs>
        <w:spacing w:after="0" w:line="480" w:lineRule="auto"/>
        <w:ind w:firstLine="567"/>
        <w:jc w:val="both"/>
        <w:rPr>
          <w:rFonts w:ascii="Times New Roman" w:hAnsi="Times New Roman" w:cs="Times New Roman"/>
          <w:sz w:val="24"/>
        </w:rPr>
      </w:pPr>
      <w:r w:rsidRPr="000A288B">
        <w:rPr>
          <w:rFonts w:ascii="Times New Roman" w:hAnsi="Times New Roman" w:cs="Times New Roman"/>
          <w:sz w:val="24"/>
        </w:rPr>
        <w:lastRenderedPageBreak/>
        <w:t xml:space="preserve">ANOVA results showed that the provision of fungal consortium as biofertilizer significantly affected the number of leaves (p&lt;0.05). </w:t>
      </w:r>
      <w:r w:rsidR="009E7876" w:rsidRPr="009E7876">
        <w:rPr>
          <w:rFonts w:ascii="Times New Roman" w:hAnsi="Times New Roman" w:cs="Times New Roman"/>
          <w:sz w:val="24"/>
        </w:rPr>
        <w:t>The results of this study revealed that the LY fungal consortium treatment resulted in the highest average leaf number.</w:t>
      </w:r>
      <w:r>
        <w:rPr>
          <w:rFonts w:ascii="Times New Roman" w:hAnsi="Times New Roman" w:cs="Times New Roman"/>
          <w:sz w:val="24"/>
        </w:rPr>
        <w:t xml:space="preserve"> The treatment of </w:t>
      </w:r>
      <w:r w:rsidRPr="000A288B">
        <w:rPr>
          <w:rFonts w:ascii="Times New Roman" w:hAnsi="Times New Roman" w:cs="Times New Roman"/>
          <w:sz w:val="24"/>
        </w:rPr>
        <w:t>LY fungal consortium had 11 leaves</w:t>
      </w:r>
      <w:r w:rsidR="005C1FB9">
        <w:rPr>
          <w:rFonts w:ascii="Times New Roman" w:hAnsi="Times New Roman" w:cs="Times New Roman"/>
          <w:sz w:val="24"/>
        </w:rPr>
        <w:t xml:space="preserve"> </w:t>
      </w:r>
      <w:r w:rsidR="005C1FB9">
        <w:rPr>
          <w:rFonts w:ascii="Times New Roman" w:hAnsi="Times New Roman" w:cs="Times New Roman"/>
          <w:sz w:val="24"/>
          <w:szCs w:val="24"/>
        </w:rPr>
        <w:t>(57% higher than the control)</w:t>
      </w:r>
      <w:r w:rsidRPr="000A288B">
        <w:rPr>
          <w:rFonts w:ascii="Times New Roman" w:hAnsi="Times New Roman" w:cs="Times New Roman"/>
          <w:sz w:val="24"/>
        </w:rPr>
        <w:t>. Based on the results of DMRT, the number of leaves by LY fungal consortium treatment was not significantly different from the LH fungal consortium treatment, but the difference was significant with the control and the other two treatments.</w:t>
      </w:r>
    </w:p>
    <w:p w:rsidR="008B7B4D" w:rsidRPr="00C06544" w:rsidRDefault="000A288B" w:rsidP="00E92CCF">
      <w:pPr>
        <w:tabs>
          <w:tab w:val="left" w:pos="567"/>
        </w:tabs>
        <w:spacing w:after="0" w:line="480" w:lineRule="auto"/>
        <w:jc w:val="both"/>
        <w:rPr>
          <w:rFonts w:ascii="Times New Roman" w:hAnsi="Times New Roman" w:cs="Times New Roman"/>
          <w:i/>
          <w:sz w:val="24"/>
          <w:szCs w:val="24"/>
        </w:rPr>
      </w:pPr>
      <w:r w:rsidRPr="000A288B">
        <w:rPr>
          <w:rFonts w:ascii="Times New Roman" w:hAnsi="Times New Roman" w:cs="Times New Roman"/>
          <w:i/>
          <w:sz w:val="24"/>
          <w:szCs w:val="24"/>
        </w:rPr>
        <w:t>Plant Dry Weight</w:t>
      </w:r>
      <w:r w:rsidR="008B7B4D" w:rsidRPr="00C06544">
        <w:rPr>
          <w:rFonts w:ascii="Times New Roman" w:hAnsi="Times New Roman" w:cs="Times New Roman"/>
          <w:i/>
          <w:sz w:val="24"/>
          <w:szCs w:val="24"/>
        </w:rPr>
        <w:t xml:space="preserve"> </w:t>
      </w:r>
    </w:p>
    <w:p w:rsidR="008B7B4D" w:rsidRDefault="00383072" w:rsidP="00E92CCF">
      <w:pPr>
        <w:tabs>
          <w:tab w:val="left" w:pos="567"/>
        </w:tabs>
        <w:spacing w:after="0" w:line="240" w:lineRule="auto"/>
        <w:jc w:val="both"/>
        <w:rPr>
          <w:rFonts w:ascii="Times New Roman" w:hAnsi="Times New Roman" w:cs="Times New Roman"/>
          <w:sz w:val="24"/>
          <w:szCs w:val="24"/>
        </w:rPr>
      </w:pPr>
      <w:r>
        <w:rPr>
          <w:noProof/>
        </w:rPr>
        <w:drawing>
          <wp:inline distT="0" distB="0" distL="0" distR="0" wp14:anchorId="2829DB9C" wp14:editId="68DAAC5D">
            <wp:extent cx="3240000" cy="21600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B7B4D" w:rsidRDefault="00EF30AA" w:rsidP="00E92CCF">
      <w:pPr>
        <w:tabs>
          <w:tab w:val="left" w:pos="567"/>
        </w:tabs>
        <w:spacing w:after="0" w:line="480" w:lineRule="auto"/>
        <w:jc w:val="both"/>
        <w:rPr>
          <w:rFonts w:ascii="Times New Roman" w:hAnsi="Times New Roman" w:cs="Times New Roman"/>
          <w:sz w:val="24"/>
        </w:rPr>
      </w:pPr>
      <w:r>
        <w:rPr>
          <w:rFonts w:ascii="Times New Roman" w:hAnsi="Times New Roman" w:cs="Times New Roman"/>
          <w:b/>
          <w:sz w:val="24"/>
          <w:szCs w:val="24"/>
        </w:rPr>
        <w:t>Figure</w:t>
      </w:r>
      <w:r w:rsidR="008B7B4D">
        <w:rPr>
          <w:rFonts w:ascii="Times New Roman" w:hAnsi="Times New Roman" w:cs="Times New Roman"/>
          <w:b/>
          <w:sz w:val="24"/>
          <w:szCs w:val="24"/>
        </w:rPr>
        <w:t xml:space="preserve"> 22</w:t>
      </w:r>
      <w:r w:rsidR="008B7B4D" w:rsidRPr="006B1762">
        <w:rPr>
          <w:rFonts w:ascii="Times New Roman" w:hAnsi="Times New Roman" w:cs="Times New Roman"/>
          <w:b/>
          <w:sz w:val="24"/>
          <w:szCs w:val="24"/>
        </w:rPr>
        <w:t>.</w:t>
      </w:r>
      <w:r w:rsidR="008B7B4D" w:rsidRPr="00A76A65">
        <w:rPr>
          <w:rFonts w:ascii="Times New Roman" w:hAnsi="Times New Roman" w:cs="Times New Roman"/>
          <w:sz w:val="24"/>
          <w:szCs w:val="24"/>
        </w:rPr>
        <w:t xml:space="preserve"> </w:t>
      </w:r>
      <w:r w:rsidR="000A288B" w:rsidRPr="000A288B">
        <w:rPr>
          <w:rFonts w:ascii="Times New Roman" w:hAnsi="Times New Roman" w:cs="Times New Roman"/>
          <w:sz w:val="24"/>
        </w:rPr>
        <w:t>Effect of Treatment on Plant Dry Weight</w:t>
      </w:r>
    </w:p>
    <w:p w:rsidR="000A288B" w:rsidRDefault="000A288B" w:rsidP="00E92CCF">
      <w:pPr>
        <w:tabs>
          <w:tab w:val="left" w:pos="567"/>
        </w:tabs>
        <w:spacing w:after="0" w:line="480" w:lineRule="auto"/>
        <w:ind w:firstLine="567"/>
        <w:jc w:val="both"/>
        <w:rPr>
          <w:rFonts w:ascii="Times New Roman" w:hAnsi="Times New Roman" w:cs="Times New Roman"/>
          <w:sz w:val="24"/>
        </w:rPr>
      </w:pPr>
      <w:r w:rsidRPr="000A288B">
        <w:rPr>
          <w:rFonts w:ascii="Times New Roman" w:hAnsi="Times New Roman" w:cs="Times New Roman"/>
          <w:sz w:val="24"/>
        </w:rPr>
        <w:t>ANOVA results showed a significant effect on plant dry weight by the treatment of fungal consortium as biofertilizer (p&lt;0.05). The highest results</w:t>
      </w:r>
      <w:r>
        <w:rPr>
          <w:rFonts w:ascii="Times New Roman" w:hAnsi="Times New Roman" w:cs="Times New Roman"/>
          <w:sz w:val="24"/>
        </w:rPr>
        <w:t xml:space="preserve"> were found in the treatment of </w:t>
      </w:r>
      <w:r w:rsidRPr="000A288B">
        <w:rPr>
          <w:rFonts w:ascii="Times New Roman" w:hAnsi="Times New Roman" w:cs="Times New Roman"/>
          <w:sz w:val="24"/>
        </w:rPr>
        <w:t>LH fung</w:t>
      </w:r>
      <w:r>
        <w:rPr>
          <w:rFonts w:ascii="Times New Roman" w:hAnsi="Times New Roman" w:cs="Times New Roman"/>
          <w:sz w:val="24"/>
        </w:rPr>
        <w:t xml:space="preserve">al consortium. The treatment of </w:t>
      </w:r>
      <w:r w:rsidRPr="000A288B">
        <w:rPr>
          <w:rFonts w:ascii="Times New Roman" w:hAnsi="Times New Roman" w:cs="Times New Roman"/>
          <w:sz w:val="24"/>
        </w:rPr>
        <w:t>LH fungal consortium obtained a dry weight of 0.42 grams</w:t>
      </w:r>
      <w:r w:rsidR="00CE5ABD">
        <w:rPr>
          <w:rFonts w:ascii="Times New Roman" w:hAnsi="Times New Roman" w:cs="Times New Roman"/>
          <w:sz w:val="24"/>
        </w:rPr>
        <w:t xml:space="preserve"> </w:t>
      </w:r>
      <w:r w:rsidR="00CE5ABD">
        <w:rPr>
          <w:rFonts w:ascii="Times New Roman" w:hAnsi="Times New Roman" w:cs="Times New Roman"/>
          <w:sz w:val="24"/>
          <w:szCs w:val="24"/>
        </w:rPr>
        <w:t>(50% higher than the control)</w:t>
      </w:r>
      <w:r w:rsidRPr="000A288B">
        <w:rPr>
          <w:rFonts w:ascii="Times New Roman" w:hAnsi="Times New Roman" w:cs="Times New Roman"/>
          <w:sz w:val="24"/>
        </w:rPr>
        <w:t>. Based on the results of DMRT, the dry weight of plants by LH fungal consortium was significantly different from the control and other treatments.</w:t>
      </w:r>
    </w:p>
    <w:p w:rsidR="008B7B4D" w:rsidRPr="008B7B4D" w:rsidRDefault="008B7B4D" w:rsidP="00E92CCF">
      <w:pPr>
        <w:tabs>
          <w:tab w:val="left" w:pos="567"/>
        </w:tabs>
        <w:spacing w:after="0" w:line="480" w:lineRule="auto"/>
        <w:jc w:val="both"/>
        <w:rPr>
          <w:rFonts w:ascii="Times New Roman" w:hAnsi="Times New Roman" w:cs="Times New Roman"/>
          <w:b/>
          <w:sz w:val="24"/>
        </w:rPr>
      </w:pPr>
      <w:r w:rsidRPr="008B7B4D">
        <w:rPr>
          <w:rFonts w:ascii="Times New Roman" w:hAnsi="Times New Roman" w:cs="Times New Roman"/>
          <w:b/>
          <w:sz w:val="24"/>
        </w:rPr>
        <w:t xml:space="preserve">Discussion </w:t>
      </w:r>
    </w:p>
    <w:p w:rsidR="008B7B4D" w:rsidRPr="008B7B4D" w:rsidRDefault="008B7B4D" w:rsidP="00E92CCF">
      <w:pPr>
        <w:tabs>
          <w:tab w:val="left" w:pos="567"/>
        </w:tabs>
        <w:spacing w:after="0" w:line="480" w:lineRule="auto"/>
        <w:ind w:firstLine="567"/>
        <w:jc w:val="both"/>
        <w:rPr>
          <w:rFonts w:ascii="Times New Roman" w:hAnsi="Times New Roman" w:cs="Times New Roman"/>
          <w:sz w:val="24"/>
        </w:rPr>
      </w:pPr>
      <w:r w:rsidRPr="008B7B4D">
        <w:rPr>
          <w:rFonts w:ascii="Times New Roman" w:hAnsi="Times New Roman" w:cs="Times New Roman"/>
          <w:sz w:val="24"/>
        </w:rPr>
        <w:t xml:space="preserve">Soil pH is one of the factors that can support the growth of soil microorganisms. According to Rukmana et al. (2019), in conditions of pH 5.5 to pH 7 fungi and bacteria </w:t>
      </w:r>
      <w:r w:rsidRPr="008B7B4D">
        <w:rPr>
          <w:rFonts w:ascii="Times New Roman" w:hAnsi="Times New Roman" w:cs="Times New Roman"/>
          <w:sz w:val="24"/>
        </w:rPr>
        <w:lastRenderedPageBreak/>
        <w:t xml:space="preserve">that are functional, namely as decomposers of organic matter in the soil, will grow well. Wan et al. (2021), stated that soil pH is considered a major factor affecting microbial diversity and activity in the soil. </w:t>
      </w:r>
    </w:p>
    <w:p w:rsidR="008B7B4D" w:rsidRPr="008B7B4D" w:rsidRDefault="00C87A05" w:rsidP="00E92CCF">
      <w:pPr>
        <w:tabs>
          <w:tab w:val="left" w:pos="567"/>
        </w:tabs>
        <w:spacing w:after="0" w:line="480" w:lineRule="auto"/>
        <w:ind w:firstLine="567"/>
        <w:jc w:val="both"/>
        <w:rPr>
          <w:rFonts w:ascii="Times New Roman" w:hAnsi="Times New Roman" w:cs="Times New Roman"/>
          <w:sz w:val="24"/>
        </w:rPr>
      </w:pPr>
      <w:r w:rsidRPr="00C87A05">
        <w:rPr>
          <w:rFonts w:ascii="Times New Roman" w:hAnsi="Times New Roman" w:cs="Times New Roman"/>
          <w:sz w:val="24"/>
        </w:rPr>
        <w:t>The treatment of LH fungal consortium had the highest pH increase value than the other treatments.</w:t>
      </w:r>
      <w:r w:rsidR="008B7B4D" w:rsidRPr="008B7B4D">
        <w:rPr>
          <w:rFonts w:ascii="Times New Roman" w:hAnsi="Times New Roman" w:cs="Times New Roman"/>
          <w:sz w:val="24"/>
        </w:rPr>
        <w:t>, this is because the LH fungal consortium has the most combined fungal species compared to the fungal consorti</w:t>
      </w:r>
      <w:r w:rsidR="00F2328A">
        <w:rPr>
          <w:rFonts w:ascii="Times New Roman" w:hAnsi="Times New Roman" w:cs="Times New Roman"/>
          <w:sz w:val="24"/>
        </w:rPr>
        <w:t>um from other land uses (Table 6</w:t>
      </w:r>
      <w:r w:rsidR="008B7B4D" w:rsidRPr="008B7B4D">
        <w:rPr>
          <w:rFonts w:ascii="Times New Roman" w:hAnsi="Times New Roman" w:cs="Times New Roman"/>
          <w:sz w:val="24"/>
        </w:rPr>
        <w:t xml:space="preserve">). </w:t>
      </w:r>
      <w:r w:rsidRPr="00C87A05">
        <w:rPr>
          <w:rFonts w:ascii="Times New Roman" w:hAnsi="Times New Roman" w:cs="Times New Roman"/>
          <w:sz w:val="24"/>
        </w:rPr>
        <w:t>Increasing the pH of the soil to neutral can be caused by the decomposition process carried out by soil microorganisms such as fungi.</w:t>
      </w:r>
      <w:r>
        <w:rPr>
          <w:rFonts w:ascii="Times New Roman" w:hAnsi="Times New Roman" w:cs="Times New Roman"/>
          <w:sz w:val="24"/>
        </w:rPr>
        <w:t xml:space="preserve"> </w:t>
      </w:r>
      <w:r w:rsidR="008B7B4D" w:rsidRPr="008B7B4D">
        <w:rPr>
          <w:rFonts w:ascii="Times New Roman" w:hAnsi="Times New Roman" w:cs="Times New Roman"/>
          <w:sz w:val="24"/>
        </w:rPr>
        <w:t xml:space="preserve">According to Li et al. (2022), </w:t>
      </w:r>
      <w:r>
        <w:rPr>
          <w:rFonts w:ascii="Times New Roman" w:hAnsi="Times New Roman" w:cs="Times New Roman"/>
          <w:sz w:val="24"/>
        </w:rPr>
        <w:t>f</w:t>
      </w:r>
      <w:r w:rsidRPr="00C87A05">
        <w:rPr>
          <w:rFonts w:ascii="Times New Roman" w:hAnsi="Times New Roman" w:cs="Times New Roman"/>
          <w:sz w:val="24"/>
        </w:rPr>
        <w:t>ungi contribute to the decomposition of organic matter and the carbon cycle</w:t>
      </w:r>
      <w:r w:rsidR="008B7B4D" w:rsidRPr="008B7B4D">
        <w:rPr>
          <w:rFonts w:ascii="Times New Roman" w:hAnsi="Times New Roman" w:cs="Times New Roman"/>
          <w:sz w:val="24"/>
        </w:rPr>
        <w:t xml:space="preserve">. Kaya et al. (2017), stated that the decomposition of organic matter will produce basic cations such as Ca, Mg, K, and Na which cause the concentration of OH¯ ions to increase which results in soil pH also increasing. </w:t>
      </w:r>
    </w:p>
    <w:p w:rsidR="005F5771" w:rsidRDefault="005F5771" w:rsidP="00E92CCF">
      <w:pPr>
        <w:tabs>
          <w:tab w:val="left" w:pos="567"/>
        </w:tabs>
        <w:spacing w:after="0" w:line="480" w:lineRule="auto"/>
        <w:ind w:firstLine="567"/>
        <w:jc w:val="both"/>
        <w:rPr>
          <w:rFonts w:ascii="Times New Roman" w:hAnsi="Times New Roman" w:cs="Times New Roman"/>
          <w:sz w:val="24"/>
        </w:rPr>
      </w:pPr>
      <w:r w:rsidRPr="005F5771">
        <w:rPr>
          <w:rFonts w:ascii="Times New Roman" w:hAnsi="Times New Roman" w:cs="Times New Roman"/>
          <w:sz w:val="24"/>
        </w:rPr>
        <w:t xml:space="preserve">Based on the results of the study, it can be seen that there is a decrease in the C-Organic content of the initial soil after being treated. The decrease in C-Organic content can occur because the carbon is used by fungi as an energy source to support the decomposition process of organic matter. Macias-Benitez et al. (2020), stated that soil microorganisms use carbon as an energy source. Nurrohman et al. (2014), </w:t>
      </w:r>
      <w:r w:rsidR="00C87A05" w:rsidRPr="00C87A05">
        <w:rPr>
          <w:rFonts w:ascii="Times New Roman" w:hAnsi="Times New Roman" w:cs="Times New Roman"/>
          <w:sz w:val="24"/>
        </w:rPr>
        <w:t>stated that the decomposition process will produce minerals that are a source of nutrients for plants that would be released by the mineralization process to be used by plants to support their growth.</w:t>
      </w:r>
      <w:r w:rsidR="00C87A05">
        <w:rPr>
          <w:rFonts w:ascii="Times New Roman" w:hAnsi="Times New Roman" w:cs="Times New Roman"/>
          <w:sz w:val="24"/>
        </w:rPr>
        <w:t xml:space="preserve"> </w:t>
      </w:r>
      <w:r w:rsidRPr="005F5771">
        <w:rPr>
          <w:rFonts w:ascii="Times New Roman" w:hAnsi="Times New Roman" w:cs="Times New Roman"/>
          <w:sz w:val="24"/>
        </w:rPr>
        <w:t xml:space="preserve">The decrease in C-Organic content can also be caused by the respiration process in plants and soil. Yuniarti et al. (2017) stated that the factors causing the decline of carbon in the soil are the result of the process of plant respiration, soil respiration, and transported during harvest. The process of plant respiration and soil </w:t>
      </w:r>
      <w:r w:rsidRPr="005F5771">
        <w:rPr>
          <w:rFonts w:ascii="Times New Roman" w:hAnsi="Times New Roman" w:cs="Times New Roman"/>
          <w:sz w:val="24"/>
        </w:rPr>
        <w:lastRenderedPageBreak/>
        <w:t>respiration will cause the release of organic carbon in</w:t>
      </w:r>
      <w:r>
        <w:rPr>
          <w:rFonts w:ascii="Times New Roman" w:hAnsi="Times New Roman" w:cs="Times New Roman"/>
          <w:sz w:val="24"/>
        </w:rPr>
        <w:t xml:space="preserve"> the form of carbon dioxide (CO</w:t>
      </w:r>
      <w:r>
        <w:rPr>
          <w:rFonts w:ascii="Times New Roman" w:hAnsi="Times New Roman" w:cs="Times New Roman"/>
          <w:sz w:val="24"/>
          <w:vertAlign w:val="subscript"/>
        </w:rPr>
        <w:t>2</w:t>
      </w:r>
      <w:r w:rsidRPr="005F5771">
        <w:rPr>
          <w:rFonts w:ascii="Times New Roman" w:hAnsi="Times New Roman" w:cs="Times New Roman"/>
          <w:sz w:val="24"/>
        </w:rPr>
        <w:t>) so that the soil C-Organic content will decrease.</w:t>
      </w:r>
    </w:p>
    <w:p w:rsidR="00712D74" w:rsidRDefault="00712D74" w:rsidP="00E92CCF">
      <w:pPr>
        <w:tabs>
          <w:tab w:val="left" w:pos="567"/>
        </w:tabs>
        <w:spacing w:after="0" w:line="480" w:lineRule="auto"/>
        <w:ind w:firstLine="567"/>
        <w:jc w:val="both"/>
        <w:rPr>
          <w:rFonts w:ascii="Times New Roman" w:hAnsi="Times New Roman" w:cs="Times New Roman"/>
          <w:sz w:val="24"/>
        </w:rPr>
      </w:pPr>
      <w:r w:rsidRPr="00712D74">
        <w:rPr>
          <w:rFonts w:ascii="Times New Roman" w:hAnsi="Times New Roman" w:cs="Times New Roman"/>
          <w:sz w:val="24"/>
        </w:rPr>
        <w:t xml:space="preserve">The LY fungal consortium treatment which is a combination of </w:t>
      </w:r>
      <w:r w:rsidRPr="00712D74">
        <w:rPr>
          <w:rFonts w:ascii="Times New Roman" w:hAnsi="Times New Roman" w:cs="Times New Roman"/>
          <w:i/>
          <w:sz w:val="24"/>
        </w:rPr>
        <w:t>Aspergilus aculeatus</w:t>
      </w:r>
      <w:r w:rsidRPr="00712D74">
        <w:rPr>
          <w:rFonts w:ascii="Times New Roman" w:hAnsi="Times New Roman" w:cs="Times New Roman"/>
          <w:sz w:val="24"/>
        </w:rPr>
        <w:t xml:space="preserve"> and </w:t>
      </w:r>
      <w:r w:rsidRPr="00712D74">
        <w:rPr>
          <w:rFonts w:ascii="Times New Roman" w:hAnsi="Times New Roman" w:cs="Times New Roman"/>
          <w:i/>
          <w:sz w:val="24"/>
        </w:rPr>
        <w:t>Aspergillus flavus</w:t>
      </w:r>
      <w:r w:rsidRPr="00712D74">
        <w:rPr>
          <w:rFonts w:ascii="Times New Roman" w:hAnsi="Times New Roman" w:cs="Times New Roman"/>
          <w:sz w:val="24"/>
        </w:rPr>
        <w:t xml:space="preserve"> species has the highest N-Total value compared to other treatments. Hastuti, (2011), stated that the fungus </w:t>
      </w:r>
      <w:r w:rsidRPr="00712D74">
        <w:rPr>
          <w:rFonts w:ascii="Times New Roman" w:hAnsi="Times New Roman" w:cs="Times New Roman"/>
          <w:i/>
          <w:sz w:val="24"/>
        </w:rPr>
        <w:t>Aspergillus flavus</w:t>
      </w:r>
      <w:r w:rsidRPr="00712D74">
        <w:rPr>
          <w:rFonts w:ascii="Times New Roman" w:hAnsi="Times New Roman" w:cs="Times New Roman"/>
          <w:sz w:val="24"/>
        </w:rPr>
        <w:t xml:space="preserve"> is included in heterotrophic microorganisms that can produce nitrate. According to Al-Maadhidi &amp; Henriksson (1980), their research stated that </w:t>
      </w:r>
      <w:r w:rsidRPr="00712D74">
        <w:rPr>
          <w:rFonts w:ascii="Times New Roman" w:hAnsi="Times New Roman" w:cs="Times New Roman"/>
          <w:i/>
          <w:sz w:val="24"/>
        </w:rPr>
        <w:t>Aspergillus flavus</w:t>
      </w:r>
      <w:r w:rsidRPr="00712D74">
        <w:rPr>
          <w:rFonts w:ascii="Times New Roman" w:hAnsi="Times New Roman" w:cs="Times New Roman"/>
          <w:sz w:val="24"/>
        </w:rPr>
        <w:t xml:space="preserve"> can increase nitrogen fixation but its ability is not better than </w:t>
      </w:r>
      <w:r w:rsidRPr="00712D74">
        <w:rPr>
          <w:rFonts w:ascii="Times New Roman" w:hAnsi="Times New Roman" w:cs="Times New Roman"/>
          <w:i/>
          <w:sz w:val="24"/>
        </w:rPr>
        <w:t>Trichoderma</w:t>
      </w:r>
      <w:r w:rsidRPr="00712D74">
        <w:rPr>
          <w:rFonts w:ascii="Times New Roman" w:hAnsi="Times New Roman" w:cs="Times New Roman"/>
          <w:sz w:val="24"/>
        </w:rPr>
        <w:t xml:space="preserve"> fungi because </w:t>
      </w:r>
      <w:r w:rsidRPr="00712D74">
        <w:rPr>
          <w:rFonts w:ascii="Times New Roman" w:hAnsi="Times New Roman" w:cs="Times New Roman"/>
          <w:i/>
          <w:sz w:val="24"/>
        </w:rPr>
        <w:t>Aspergillus</w:t>
      </w:r>
      <w:r w:rsidRPr="00712D74">
        <w:rPr>
          <w:rFonts w:ascii="Times New Roman" w:hAnsi="Times New Roman" w:cs="Times New Roman"/>
          <w:sz w:val="24"/>
        </w:rPr>
        <w:t xml:space="preserve"> fungi produce more inhibitory substances than </w:t>
      </w:r>
      <w:r w:rsidRPr="00712D74">
        <w:rPr>
          <w:rFonts w:ascii="Times New Roman" w:hAnsi="Times New Roman" w:cs="Times New Roman"/>
          <w:i/>
          <w:sz w:val="24"/>
        </w:rPr>
        <w:t>Trichoderma</w:t>
      </w:r>
      <w:r w:rsidRPr="00712D74">
        <w:rPr>
          <w:rFonts w:ascii="Times New Roman" w:hAnsi="Times New Roman" w:cs="Times New Roman"/>
          <w:sz w:val="24"/>
        </w:rPr>
        <w:t xml:space="preserve"> fungi. This is in line with the results of the study which showed that soil N-total after being treated increased from the initial soil but the results were still relatively low.</w:t>
      </w:r>
    </w:p>
    <w:p w:rsidR="008B7B4D" w:rsidRPr="008B7B4D" w:rsidRDefault="008B7B4D" w:rsidP="00E92CCF">
      <w:pPr>
        <w:tabs>
          <w:tab w:val="left" w:pos="567"/>
        </w:tabs>
        <w:spacing w:after="0" w:line="480" w:lineRule="auto"/>
        <w:ind w:firstLine="567"/>
        <w:jc w:val="both"/>
        <w:rPr>
          <w:rFonts w:ascii="Times New Roman" w:hAnsi="Times New Roman" w:cs="Times New Roman"/>
          <w:sz w:val="24"/>
        </w:rPr>
      </w:pPr>
      <w:r w:rsidRPr="008B7B4D">
        <w:rPr>
          <w:rFonts w:ascii="Times New Roman" w:hAnsi="Times New Roman" w:cs="Times New Roman"/>
          <w:sz w:val="24"/>
        </w:rPr>
        <w:t xml:space="preserve">The treatment of LY fungal consortium also gave the highest increase in available P compared to other treatments. Omomowo et al. (2020), stated that </w:t>
      </w:r>
      <w:r w:rsidRPr="00CD1B21">
        <w:rPr>
          <w:rFonts w:ascii="Times New Roman" w:hAnsi="Times New Roman" w:cs="Times New Roman"/>
          <w:i/>
          <w:sz w:val="24"/>
        </w:rPr>
        <w:t>Aspergillus flavus</w:t>
      </w:r>
      <w:r w:rsidRPr="008B7B4D">
        <w:rPr>
          <w:rFonts w:ascii="Times New Roman" w:hAnsi="Times New Roman" w:cs="Times New Roman"/>
          <w:sz w:val="24"/>
        </w:rPr>
        <w:t xml:space="preserve"> has the potential to increase plant growth when used as a biological fertilizer. </w:t>
      </w:r>
      <w:r w:rsidRPr="00CD1B21">
        <w:rPr>
          <w:rFonts w:ascii="Times New Roman" w:hAnsi="Times New Roman" w:cs="Times New Roman"/>
          <w:i/>
          <w:sz w:val="24"/>
        </w:rPr>
        <w:t>Aspergilllus flavus</w:t>
      </w:r>
      <w:r w:rsidRPr="008B7B4D">
        <w:rPr>
          <w:rFonts w:ascii="Times New Roman" w:hAnsi="Times New Roman" w:cs="Times New Roman"/>
          <w:sz w:val="24"/>
        </w:rPr>
        <w:t xml:space="preserve"> can dissolve phosphate in the soil. The increase in available P is also influenced by pH. According to Balogun et al. (2022), usually acidic pH causes high phosphate dissolution due to the presence of acids that ionize bound phosphate, but this species of </w:t>
      </w:r>
      <w:r w:rsidRPr="002D1ED3">
        <w:rPr>
          <w:rFonts w:ascii="Times New Roman" w:hAnsi="Times New Roman" w:cs="Times New Roman"/>
          <w:i/>
          <w:sz w:val="24"/>
        </w:rPr>
        <w:t>Aspergillus</w:t>
      </w:r>
      <w:r w:rsidRPr="008B7B4D">
        <w:rPr>
          <w:rFonts w:ascii="Times New Roman" w:hAnsi="Times New Roman" w:cs="Times New Roman"/>
          <w:sz w:val="24"/>
        </w:rPr>
        <w:t xml:space="preserve"> fungus can grow well in neutral soil conditions, so it tends to dissolve more phosphate in neutral conditions.</w:t>
      </w:r>
      <w:r w:rsidR="00163509">
        <w:rPr>
          <w:rFonts w:ascii="Times New Roman" w:hAnsi="Times New Roman" w:cs="Times New Roman"/>
          <w:sz w:val="24"/>
        </w:rPr>
        <w:t xml:space="preserve"> </w:t>
      </w:r>
      <w:r w:rsidR="00163509" w:rsidRPr="00163509">
        <w:rPr>
          <w:rFonts w:ascii="Times New Roman" w:hAnsi="Times New Roman" w:cs="Times New Roman"/>
          <w:sz w:val="24"/>
        </w:rPr>
        <w:t>It is shown from the research results that the control treatment with pH 6.47 (slightly acidic) has the lowest P-available value compared to other treatments with soil conditions that have a neutral pH.</w:t>
      </w:r>
    </w:p>
    <w:p w:rsidR="008B7B4D" w:rsidRPr="008B7B4D" w:rsidRDefault="008B7B4D" w:rsidP="00E92CCF">
      <w:pPr>
        <w:tabs>
          <w:tab w:val="left" w:pos="567"/>
        </w:tabs>
        <w:spacing w:after="0" w:line="480" w:lineRule="auto"/>
        <w:ind w:firstLine="567"/>
        <w:jc w:val="both"/>
        <w:rPr>
          <w:rFonts w:ascii="Times New Roman" w:hAnsi="Times New Roman" w:cs="Times New Roman"/>
          <w:sz w:val="24"/>
        </w:rPr>
      </w:pPr>
      <w:r w:rsidRPr="008B7B4D">
        <w:rPr>
          <w:rFonts w:ascii="Times New Roman" w:hAnsi="Times New Roman" w:cs="Times New Roman"/>
          <w:sz w:val="24"/>
        </w:rPr>
        <w:t xml:space="preserve">According to Ristiari et al. (2018), soil microbes such as fungi that can dissolve P, generally also can dissolve potassium. The fungal species found in the LH fungal consortium treatment, namely </w:t>
      </w:r>
      <w:r w:rsidRPr="00CD1B21">
        <w:rPr>
          <w:rFonts w:ascii="Times New Roman" w:hAnsi="Times New Roman" w:cs="Times New Roman"/>
          <w:i/>
          <w:sz w:val="24"/>
        </w:rPr>
        <w:t>Aspergillus flavus</w:t>
      </w:r>
      <w:r w:rsidRPr="008B7B4D">
        <w:rPr>
          <w:rFonts w:ascii="Times New Roman" w:hAnsi="Times New Roman" w:cs="Times New Roman"/>
          <w:sz w:val="24"/>
        </w:rPr>
        <w:t xml:space="preserve">, </w:t>
      </w:r>
      <w:r w:rsidRPr="00CD1B21">
        <w:rPr>
          <w:rFonts w:ascii="Times New Roman" w:hAnsi="Times New Roman" w:cs="Times New Roman"/>
          <w:i/>
          <w:sz w:val="24"/>
        </w:rPr>
        <w:t>Aspergillus aculeatus</w:t>
      </w:r>
      <w:r w:rsidRPr="008B7B4D">
        <w:rPr>
          <w:rFonts w:ascii="Times New Roman" w:hAnsi="Times New Roman" w:cs="Times New Roman"/>
          <w:sz w:val="24"/>
        </w:rPr>
        <w:t xml:space="preserve">, and </w:t>
      </w:r>
      <w:r w:rsidRPr="00CD1B21">
        <w:rPr>
          <w:rFonts w:ascii="Times New Roman" w:hAnsi="Times New Roman" w:cs="Times New Roman"/>
          <w:i/>
          <w:sz w:val="24"/>
        </w:rPr>
        <w:t xml:space="preserve">Aspergillus </w:t>
      </w:r>
      <w:r w:rsidRPr="00CD1B21">
        <w:rPr>
          <w:rFonts w:ascii="Times New Roman" w:hAnsi="Times New Roman" w:cs="Times New Roman"/>
          <w:i/>
          <w:sz w:val="24"/>
        </w:rPr>
        <w:lastRenderedPageBreak/>
        <w:t>sp.</w:t>
      </w:r>
      <w:r w:rsidRPr="008B7B4D">
        <w:rPr>
          <w:rFonts w:ascii="Times New Roman" w:hAnsi="Times New Roman" w:cs="Times New Roman"/>
          <w:sz w:val="24"/>
        </w:rPr>
        <w:t xml:space="preserve"> can dissolve P, which means they can dissolve potassium (K). According to Li et al. (2019), </w:t>
      </w:r>
      <w:r w:rsidRPr="00CD1B21">
        <w:rPr>
          <w:rFonts w:ascii="Times New Roman" w:hAnsi="Times New Roman" w:cs="Times New Roman"/>
          <w:i/>
          <w:sz w:val="24"/>
        </w:rPr>
        <w:t>Aspergillus aculeatus</w:t>
      </w:r>
      <w:r w:rsidRPr="008B7B4D">
        <w:rPr>
          <w:rFonts w:ascii="Times New Roman" w:hAnsi="Times New Roman" w:cs="Times New Roman"/>
          <w:sz w:val="24"/>
        </w:rPr>
        <w:t xml:space="preserve"> can dissolve insoluble forms of phosphorus (P) to become available to plants. Li et al. (2023), stated that </w:t>
      </w:r>
      <w:r w:rsidRPr="00CD1B21">
        <w:rPr>
          <w:rFonts w:ascii="Times New Roman" w:hAnsi="Times New Roman" w:cs="Times New Roman"/>
          <w:i/>
          <w:sz w:val="24"/>
        </w:rPr>
        <w:t>Aspergillus aculeatus</w:t>
      </w:r>
      <w:r w:rsidRPr="008B7B4D">
        <w:rPr>
          <w:rFonts w:ascii="Times New Roman" w:hAnsi="Times New Roman" w:cs="Times New Roman"/>
          <w:sz w:val="24"/>
        </w:rPr>
        <w:t xml:space="preserve"> also can dissolve potassium (K) in the soil which can encourage plant growth. According to Sattar et al. (2019), fungi dissolve potassium by producing organic acids such as oxalic acid, citric acid, and gluconate which can cause damage to silicate clay, mica, and feldspar.</w:t>
      </w:r>
      <w:r w:rsidR="00EE04A6">
        <w:rPr>
          <w:rFonts w:ascii="Times New Roman" w:hAnsi="Times New Roman" w:cs="Times New Roman"/>
          <w:sz w:val="24"/>
        </w:rPr>
        <w:t xml:space="preserve"> </w:t>
      </w:r>
      <w:r w:rsidR="00EE04A6" w:rsidRPr="00EE04A6">
        <w:rPr>
          <w:rFonts w:ascii="Times New Roman" w:hAnsi="Times New Roman" w:cs="Times New Roman"/>
          <w:sz w:val="24"/>
        </w:rPr>
        <w:t>Based on the results of the study, it can be seen that the application of fungal consortium is able to increase K-available in the soil higher than the control.</w:t>
      </w:r>
    </w:p>
    <w:p w:rsidR="00CD1B21" w:rsidRPr="00CD1B21" w:rsidRDefault="00CD1B21" w:rsidP="00E92CCF">
      <w:pPr>
        <w:tabs>
          <w:tab w:val="left" w:pos="567"/>
        </w:tabs>
        <w:spacing w:after="0" w:line="480" w:lineRule="auto"/>
        <w:ind w:firstLine="567"/>
        <w:jc w:val="both"/>
        <w:rPr>
          <w:rFonts w:ascii="Times New Roman" w:hAnsi="Times New Roman" w:cs="Times New Roman"/>
          <w:sz w:val="24"/>
        </w:rPr>
      </w:pPr>
      <w:r w:rsidRPr="00CD1B21">
        <w:rPr>
          <w:rFonts w:ascii="Times New Roman" w:hAnsi="Times New Roman" w:cs="Times New Roman"/>
          <w:sz w:val="24"/>
        </w:rPr>
        <w:t>Plant height is a parameter used to determine the effect of treatment on plant growth. The treatment of LH fungal consortium was able to provide the highest plant height compared to other treatments. Benu et al. (2020), stated that the number of biota in the soil affects the physical and chemical properties of the soil and affects plant growth. According to Aulia et al. (2016), the application of biological fertilizers to plants will cause the formation of functional microbial colonies at the roots to protect the roots from pathogen attacks and break down organic matter, to encourage plant growth by increasing the supply of nutrients for plants.</w:t>
      </w:r>
    </w:p>
    <w:p w:rsidR="00CD1B21" w:rsidRPr="00CD1B21" w:rsidRDefault="00CD1B21" w:rsidP="00E92CCF">
      <w:pPr>
        <w:tabs>
          <w:tab w:val="left" w:pos="567"/>
        </w:tabs>
        <w:spacing w:after="0" w:line="480" w:lineRule="auto"/>
        <w:ind w:firstLine="567"/>
        <w:jc w:val="both"/>
        <w:rPr>
          <w:rFonts w:ascii="Times New Roman" w:hAnsi="Times New Roman" w:cs="Times New Roman"/>
          <w:sz w:val="24"/>
        </w:rPr>
      </w:pPr>
      <w:r w:rsidRPr="00CD1B21">
        <w:rPr>
          <w:rFonts w:ascii="Times New Roman" w:hAnsi="Times New Roman" w:cs="Times New Roman"/>
          <w:sz w:val="24"/>
        </w:rPr>
        <w:t xml:space="preserve">The treatment of LY fungal consortium was able to provide the highest number of leaves compared to other treatments. Andriani (2017) stated that observations on the number of leaves showed that as the age of the plant increases, the number of leaves will increase. The number of leaves that increase along with the age of the plant indicates the activity of vegetative growth in plants. </w:t>
      </w:r>
    </w:p>
    <w:p w:rsidR="002D1ED3" w:rsidRDefault="00CD1B21" w:rsidP="00E92CCF">
      <w:pPr>
        <w:tabs>
          <w:tab w:val="left" w:pos="567"/>
        </w:tabs>
        <w:spacing w:after="0" w:line="480" w:lineRule="auto"/>
        <w:ind w:firstLine="567"/>
        <w:jc w:val="both"/>
        <w:rPr>
          <w:rFonts w:ascii="Times New Roman" w:hAnsi="Times New Roman" w:cs="Times New Roman"/>
          <w:sz w:val="24"/>
        </w:rPr>
      </w:pPr>
      <w:r w:rsidRPr="00CD1B21">
        <w:rPr>
          <w:rFonts w:ascii="Times New Roman" w:hAnsi="Times New Roman" w:cs="Times New Roman"/>
          <w:sz w:val="24"/>
        </w:rPr>
        <w:t xml:space="preserve">Plant dry weight is the total weight of the plant after the water content of the metabolic products in the plant is removed (Anastasia et al. 2014). The highest results were found in the LH fungal consortium treatment. The LH fungal consortium treatment </w:t>
      </w:r>
      <w:r w:rsidRPr="00CD1B21">
        <w:rPr>
          <w:rFonts w:ascii="Times New Roman" w:hAnsi="Times New Roman" w:cs="Times New Roman"/>
          <w:sz w:val="24"/>
        </w:rPr>
        <w:lastRenderedPageBreak/>
        <w:t>obtained a dry weight of 0.42 grams. Anjani et al. (2022), stated that the dry weight of plants is influenced by the number of leaves because the leaves are the storage of photosynthetic products of plants. The large number of leaves will cause an increase in the photosynthesis process which will be translocated to the plant body. Plant dry weight is also influenced by plant height According to Pane et al. (2014), an increase in plant height will directly affect plant weight.</w:t>
      </w:r>
    </w:p>
    <w:p w:rsidR="00DB07C8" w:rsidRDefault="00EF30AA" w:rsidP="00DB07C8">
      <w:pPr>
        <w:tabs>
          <w:tab w:val="left" w:pos="567"/>
        </w:tabs>
        <w:spacing w:after="0" w:line="480" w:lineRule="auto"/>
        <w:jc w:val="both"/>
        <w:rPr>
          <w:rFonts w:ascii="Times New Roman" w:hAnsi="Times New Roman" w:cs="Times New Roman"/>
          <w:b/>
          <w:sz w:val="24"/>
        </w:rPr>
      </w:pPr>
      <w:r w:rsidRPr="00EF30AA">
        <w:rPr>
          <w:rFonts w:ascii="Times New Roman" w:hAnsi="Times New Roman" w:cs="Times New Roman"/>
          <w:b/>
          <w:sz w:val="24"/>
        </w:rPr>
        <w:t>Conclusion</w:t>
      </w:r>
    </w:p>
    <w:p w:rsidR="00DB07C8" w:rsidRDefault="00DB07C8" w:rsidP="00DB07C8">
      <w:pPr>
        <w:tabs>
          <w:tab w:val="left" w:pos="567"/>
        </w:tabs>
        <w:spacing w:after="0" w:line="480" w:lineRule="auto"/>
        <w:ind w:firstLine="567"/>
        <w:jc w:val="both"/>
        <w:rPr>
          <w:rFonts w:ascii="Times New Roman" w:hAnsi="Times New Roman" w:cs="Times New Roman"/>
          <w:sz w:val="24"/>
        </w:rPr>
      </w:pPr>
      <w:r w:rsidRPr="00DB07C8">
        <w:rPr>
          <w:rFonts w:ascii="Times New Roman" w:hAnsi="Times New Roman" w:cs="Times New Roman"/>
          <w:sz w:val="24"/>
        </w:rPr>
        <w:t xml:space="preserve">The results of fungal isolation from four land uses on the western slope of Mount Lawu obtained four fungal species namely </w:t>
      </w:r>
      <w:r w:rsidRPr="00DB07C8">
        <w:rPr>
          <w:rFonts w:ascii="Times New Roman" w:hAnsi="Times New Roman" w:cs="Times New Roman"/>
          <w:i/>
          <w:sz w:val="24"/>
        </w:rPr>
        <w:t>Aspergillus ibericus</w:t>
      </w:r>
      <w:r w:rsidRPr="00DB07C8">
        <w:rPr>
          <w:rFonts w:ascii="Times New Roman" w:hAnsi="Times New Roman" w:cs="Times New Roman"/>
          <w:sz w:val="24"/>
        </w:rPr>
        <w:t xml:space="preserve">, </w:t>
      </w:r>
      <w:r w:rsidRPr="00DB07C8">
        <w:rPr>
          <w:rFonts w:ascii="Times New Roman" w:hAnsi="Times New Roman" w:cs="Times New Roman"/>
          <w:i/>
          <w:sz w:val="24"/>
        </w:rPr>
        <w:t>Aspergillus flavus</w:t>
      </w:r>
      <w:r w:rsidRPr="00DB07C8">
        <w:rPr>
          <w:rFonts w:ascii="Times New Roman" w:hAnsi="Times New Roman" w:cs="Times New Roman"/>
          <w:sz w:val="24"/>
        </w:rPr>
        <w:t xml:space="preserve">, </w:t>
      </w:r>
      <w:r w:rsidRPr="00DB07C8">
        <w:rPr>
          <w:rFonts w:ascii="Times New Roman" w:hAnsi="Times New Roman" w:cs="Times New Roman"/>
          <w:i/>
          <w:sz w:val="24"/>
        </w:rPr>
        <w:t>Aspergillus sp</w:t>
      </w:r>
      <w:r w:rsidRPr="00DB07C8">
        <w:rPr>
          <w:rFonts w:ascii="Times New Roman" w:hAnsi="Times New Roman" w:cs="Times New Roman"/>
          <w:sz w:val="24"/>
        </w:rPr>
        <w:t xml:space="preserve">., and </w:t>
      </w:r>
      <w:r w:rsidRPr="00DB07C8">
        <w:rPr>
          <w:rFonts w:ascii="Times New Roman" w:hAnsi="Times New Roman" w:cs="Times New Roman"/>
          <w:i/>
          <w:sz w:val="24"/>
        </w:rPr>
        <w:t>Aspergilus aculeatus</w:t>
      </w:r>
      <w:r w:rsidRPr="00DB07C8">
        <w:rPr>
          <w:rFonts w:ascii="Times New Roman" w:hAnsi="Times New Roman" w:cs="Times New Roman"/>
          <w:sz w:val="24"/>
        </w:rPr>
        <w:t xml:space="preserve">. In general, the LH fungal consortium which is a combination of </w:t>
      </w:r>
      <w:r w:rsidRPr="00DB07C8">
        <w:rPr>
          <w:rFonts w:ascii="Times New Roman" w:hAnsi="Times New Roman" w:cs="Times New Roman"/>
          <w:i/>
          <w:sz w:val="24"/>
        </w:rPr>
        <w:t>Aspergillus sp</w:t>
      </w:r>
      <w:r w:rsidRPr="00DB07C8">
        <w:rPr>
          <w:rFonts w:ascii="Times New Roman" w:hAnsi="Times New Roman" w:cs="Times New Roman"/>
          <w:sz w:val="24"/>
        </w:rPr>
        <w:t xml:space="preserve">., </w:t>
      </w:r>
      <w:r w:rsidRPr="00DB07C8">
        <w:rPr>
          <w:rFonts w:ascii="Times New Roman" w:hAnsi="Times New Roman" w:cs="Times New Roman"/>
          <w:i/>
          <w:sz w:val="24"/>
        </w:rPr>
        <w:t>Aspergillus ibericus</w:t>
      </w:r>
      <w:r w:rsidRPr="00DB07C8">
        <w:rPr>
          <w:rFonts w:ascii="Times New Roman" w:hAnsi="Times New Roman" w:cs="Times New Roman"/>
          <w:sz w:val="24"/>
        </w:rPr>
        <w:t xml:space="preserve">, </w:t>
      </w:r>
      <w:r w:rsidRPr="00DB07C8">
        <w:rPr>
          <w:rFonts w:ascii="Times New Roman" w:hAnsi="Times New Roman" w:cs="Times New Roman"/>
          <w:i/>
          <w:sz w:val="24"/>
        </w:rPr>
        <w:t>Aspergilus aculeatus</w:t>
      </w:r>
      <w:r w:rsidRPr="00DB07C8">
        <w:rPr>
          <w:rFonts w:ascii="Times New Roman" w:hAnsi="Times New Roman" w:cs="Times New Roman"/>
          <w:sz w:val="24"/>
        </w:rPr>
        <w:t xml:space="preserve">, and </w:t>
      </w:r>
      <w:r w:rsidRPr="00DB07C8">
        <w:rPr>
          <w:rFonts w:ascii="Times New Roman" w:hAnsi="Times New Roman" w:cs="Times New Roman"/>
          <w:i/>
          <w:sz w:val="24"/>
        </w:rPr>
        <w:t>Aspergillus flavus</w:t>
      </w:r>
      <w:r w:rsidRPr="00DB07C8">
        <w:rPr>
          <w:rFonts w:ascii="Times New Roman" w:hAnsi="Times New Roman" w:cs="Times New Roman"/>
          <w:sz w:val="24"/>
        </w:rPr>
        <w:t xml:space="preserve"> has the best potential in supporting plant growth. LH fungal consortium gave the best average results in plant height, which reached 27 cm (35% higher than the control) and dry weight reached 0.42 grams (50% higher than the control) in Pakcoy (Brassica rapa L) plants. LH fungal consortium also has the best potential in increasing soil pH up to 6.83 (5.6% higher than the control) from the initial soil and K-Available up to 0.30 cmol/gr (42.9% higher than the control) from the initial soil, followed by LY fungal consortium which can increase N-Total content up to 0.12% (33.3% higher than the control) from the initial soil and P-Available up to 2.55 ppm (18.1% higher than the control) from the initial soil. Based on these results, LH fungal consortium and LY fungal consortium can be used as biofertilizers that can support plant </w:t>
      </w:r>
    </w:p>
    <w:p w:rsidR="00A8724A" w:rsidRDefault="00A8724A" w:rsidP="00DB07C8">
      <w:pPr>
        <w:tabs>
          <w:tab w:val="left" w:pos="567"/>
        </w:tabs>
        <w:spacing w:after="0" w:line="480" w:lineRule="auto"/>
        <w:ind w:firstLine="567"/>
        <w:jc w:val="both"/>
        <w:rPr>
          <w:rFonts w:ascii="Times New Roman" w:hAnsi="Times New Roman" w:cs="Times New Roman"/>
          <w:sz w:val="24"/>
        </w:rPr>
      </w:pPr>
    </w:p>
    <w:p w:rsidR="00A8724A" w:rsidRDefault="00A8724A" w:rsidP="00DB07C8">
      <w:pPr>
        <w:tabs>
          <w:tab w:val="left" w:pos="567"/>
        </w:tabs>
        <w:spacing w:after="0" w:line="480" w:lineRule="auto"/>
        <w:ind w:firstLine="567"/>
        <w:jc w:val="both"/>
        <w:rPr>
          <w:rFonts w:ascii="Times New Roman" w:hAnsi="Times New Roman" w:cs="Times New Roman"/>
          <w:sz w:val="24"/>
        </w:rPr>
      </w:pPr>
    </w:p>
    <w:p w:rsidR="00A8724A" w:rsidRPr="00A8724A" w:rsidRDefault="00A8724A" w:rsidP="00A8724A">
      <w:pPr>
        <w:tabs>
          <w:tab w:val="left" w:pos="567"/>
        </w:tabs>
        <w:spacing w:after="0" w:line="480" w:lineRule="auto"/>
        <w:jc w:val="both"/>
        <w:rPr>
          <w:rFonts w:ascii="Times New Roman" w:hAnsi="Times New Roman" w:cs="Times New Roman"/>
          <w:b/>
          <w:sz w:val="24"/>
        </w:rPr>
      </w:pPr>
      <w:r w:rsidRPr="00A8724A">
        <w:rPr>
          <w:rFonts w:ascii="Times New Roman" w:hAnsi="Times New Roman" w:cs="Times New Roman"/>
          <w:b/>
          <w:sz w:val="24"/>
        </w:rPr>
        <w:lastRenderedPageBreak/>
        <w:t xml:space="preserve">Reference </w:t>
      </w:r>
    </w:p>
    <w:p w:rsidR="00A8724A" w:rsidRPr="00BA7DA8" w:rsidRDefault="00A8724A" w:rsidP="00A872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b/>
          <w:sz w:val="24"/>
        </w:rPr>
        <w:fldChar w:fldCharType="begin" w:fldLock="1"/>
      </w:r>
      <w:r>
        <w:rPr>
          <w:rFonts w:ascii="Times New Roman" w:hAnsi="Times New Roman" w:cs="Times New Roman"/>
          <w:b/>
          <w:sz w:val="24"/>
        </w:rPr>
        <w:instrText xml:space="preserve">ADDIN Mendeley Bibliography CSL_BIBLIOGRAPHY </w:instrText>
      </w:r>
      <w:r>
        <w:rPr>
          <w:rFonts w:ascii="Times New Roman" w:hAnsi="Times New Roman" w:cs="Times New Roman"/>
          <w:b/>
          <w:sz w:val="24"/>
        </w:rPr>
        <w:fldChar w:fldCharType="separate"/>
      </w:r>
      <w:r w:rsidRPr="00BA7DA8">
        <w:rPr>
          <w:rFonts w:ascii="Times New Roman" w:hAnsi="Times New Roman" w:cs="Times New Roman"/>
          <w:noProof/>
          <w:sz w:val="24"/>
          <w:szCs w:val="24"/>
        </w:rPr>
        <w:t xml:space="preserve">Al-Maadhidi, &amp; E, H. (1980). Nordic Society Oikos Effects of the Fungi Trichoderma Harzianum and Aspergillus Flavus on the Nitrogen Fixation and Growth of the </w:t>
      </w:r>
      <w:r>
        <w:rPr>
          <w:rFonts w:ascii="Times New Roman" w:hAnsi="Times New Roman" w:cs="Times New Roman"/>
          <w:noProof/>
          <w:sz w:val="24"/>
          <w:szCs w:val="24"/>
        </w:rPr>
        <w:t xml:space="preserve">Alga Anabaena Variabilis. </w:t>
      </w:r>
      <w:r w:rsidRPr="00BA7DA8">
        <w:rPr>
          <w:rFonts w:ascii="Times New Roman" w:hAnsi="Times New Roman" w:cs="Times New Roman"/>
          <w:i/>
          <w:iCs/>
          <w:noProof/>
          <w:sz w:val="24"/>
          <w:szCs w:val="24"/>
        </w:rPr>
        <w:t>Nordic Society Oikos</w:t>
      </w:r>
      <w:r>
        <w:rPr>
          <w:rFonts w:ascii="Times New Roman" w:hAnsi="Times New Roman" w:cs="Times New Roman"/>
          <w:noProof/>
          <w:sz w:val="24"/>
          <w:szCs w:val="24"/>
        </w:rPr>
        <w:t xml:space="preserve"> </w:t>
      </w:r>
      <w:r w:rsidRPr="00F92A3B">
        <w:rPr>
          <w:rFonts w:ascii="Times New Roman" w:hAnsi="Times New Roman" w:cs="Times New Roman"/>
          <w:iCs/>
          <w:noProof/>
          <w:sz w:val="24"/>
          <w:szCs w:val="24"/>
        </w:rPr>
        <w:t>35</w:t>
      </w:r>
      <w:r w:rsidRPr="00F92A3B">
        <w:rPr>
          <w:rFonts w:ascii="Times New Roman" w:hAnsi="Times New Roman" w:cs="Times New Roman"/>
          <w:noProof/>
          <w:sz w:val="24"/>
          <w:szCs w:val="24"/>
        </w:rPr>
        <w:t>(1)</w:t>
      </w:r>
      <w:r>
        <w:rPr>
          <w:rFonts w:ascii="Times New Roman" w:hAnsi="Times New Roman" w:cs="Times New Roman"/>
          <w:noProof/>
          <w:sz w:val="24"/>
          <w:szCs w:val="24"/>
        </w:rPr>
        <w:t xml:space="preserve">: </w:t>
      </w:r>
      <w:r w:rsidRPr="00BA7DA8">
        <w:rPr>
          <w:rFonts w:ascii="Times New Roman" w:hAnsi="Times New Roman" w:cs="Times New Roman"/>
          <w:noProof/>
          <w:sz w:val="24"/>
          <w:szCs w:val="24"/>
        </w:rPr>
        <w:t>115–119.</w:t>
      </w:r>
    </w:p>
    <w:p w:rsidR="00A8724A" w:rsidRPr="00BA7DA8" w:rsidRDefault="00A8724A" w:rsidP="00A872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A7DA8">
        <w:rPr>
          <w:rFonts w:ascii="Times New Roman" w:hAnsi="Times New Roman" w:cs="Times New Roman"/>
          <w:noProof/>
          <w:sz w:val="24"/>
          <w:szCs w:val="24"/>
        </w:rPr>
        <w:t xml:space="preserve">Anastasia, I., Izatti, M., &amp; Suedy, S. W. A. (2014). Pengaruh Pemberian Kombinasi Pupuk </w:t>
      </w:r>
      <w:r>
        <w:rPr>
          <w:rFonts w:ascii="Times New Roman" w:hAnsi="Times New Roman" w:cs="Times New Roman"/>
          <w:noProof/>
          <w:sz w:val="24"/>
          <w:szCs w:val="24"/>
        </w:rPr>
        <w:t>Organik Padat dan Organik Cair t</w:t>
      </w:r>
      <w:r w:rsidRPr="00BA7DA8">
        <w:rPr>
          <w:rFonts w:ascii="Times New Roman" w:hAnsi="Times New Roman" w:cs="Times New Roman"/>
          <w:noProof/>
          <w:sz w:val="24"/>
          <w:szCs w:val="24"/>
        </w:rPr>
        <w:t>erhadap Porositas Tanah dan Pertumbuhan Tanaman Bayam (</w:t>
      </w:r>
      <w:r w:rsidRPr="00F92A3B">
        <w:rPr>
          <w:rFonts w:ascii="Times New Roman" w:hAnsi="Times New Roman" w:cs="Times New Roman"/>
          <w:i/>
          <w:noProof/>
          <w:sz w:val="24"/>
          <w:szCs w:val="24"/>
        </w:rPr>
        <w:t>Amarantus tricolor L</w:t>
      </w:r>
      <w:r>
        <w:rPr>
          <w:rFonts w:ascii="Times New Roman" w:hAnsi="Times New Roman" w:cs="Times New Roman"/>
          <w:noProof/>
          <w:sz w:val="24"/>
          <w:szCs w:val="24"/>
        </w:rPr>
        <w:t xml:space="preserve">.). </w:t>
      </w:r>
      <w:r w:rsidRPr="00BA7DA8">
        <w:rPr>
          <w:rFonts w:ascii="Times New Roman" w:hAnsi="Times New Roman" w:cs="Times New Roman"/>
          <w:i/>
          <w:iCs/>
          <w:noProof/>
          <w:sz w:val="24"/>
          <w:szCs w:val="24"/>
        </w:rPr>
        <w:t>Jurnal Akademika Biologi</w:t>
      </w:r>
      <w:r>
        <w:rPr>
          <w:rFonts w:ascii="Times New Roman" w:hAnsi="Times New Roman" w:cs="Times New Roman"/>
          <w:noProof/>
          <w:sz w:val="24"/>
          <w:szCs w:val="24"/>
        </w:rPr>
        <w:t xml:space="preserve"> </w:t>
      </w:r>
      <w:r w:rsidRPr="00BA7DA8">
        <w:rPr>
          <w:rFonts w:ascii="Times New Roman" w:hAnsi="Times New Roman" w:cs="Times New Roman"/>
          <w:i/>
          <w:iCs/>
          <w:noProof/>
          <w:sz w:val="24"/>
          <w:szCs w:val="24"/>
        </w:rPr>
        <w:t>3</w:t>
      </w:r>
      <w:r>
        <w:rPr>
          <w:rFonts w:ascii="Times New Roman" w:hAnsi="Times New Roman" w:cs="Times New Roman"/>
          <w:noProof/>
          <w:sz w:val="24"/>
          <w:szCs w:val="24"/>
        </w:rPr>
        <w:t>(2):</w:t>
      </w:r>
      <w:r w:rsidRPr="00BA7DA8">
        <w:rPr>
          <w:rFonts w:ascii="Times New Roman" w:hAnsi="Times New Roman" w:cs="Times New Roman"/>
          <w:noProof/>
          <w:sz w:val="24"/>
          <w:szCs w:val="24"/>
        </w:rPr>
        <w:t xml:space="preserve"> 1–10.</w:t>
      </w:r>
    </w:p>
    <w:p w:rsidR="00A8724A" w:rsidRDefault="00A8724A" w:rsidP="00A872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A7DA8">
        <w:rPr>
          <w:rFonts w:ascii="Times New Roman" w:hAnsi="Times New Roman" w:cs="Times New Roman"/>
          <w:noProof/>
          <w:sz w:val="24"/>
          <w:szCs w:val="24"/>
        </w:rPr>
        <w:t>An</w:t>
      </w:r>
      <w:r>
        <w:rPr>
          <w:rFonts w:ascii="Times New Roman" w:hAnsi="Times New Roman" w:cs="Times New Roman"/>
          <w:noProof/>
          <w:sz w:val="24"/>
          <w:szCs w:val="24"/>
        </w:rPr>
        <w:t>driani, V. (2017). Pertumbuhan d</w:t>
      </w:r>
      <w:r w:rsidRPr="00BA7DA8">
        <w:rPr>
          <w:rFonts w:ascii="Times New Roman" w:hAnsi="Times New Roman" w:cs="Times New Roman"/>
          <w:noProof/>
          <w:sz w:val="24"/>
          <w:szCs w:val="24"/>
        </w:rPr>
        <w:t>an Kadar Klorofil Tanaman Pakcoy (</w:t>
      </w:r>
      <w:r w:rsidRPr="00F92A3B">
        <w:rPr>
          <w:rFonts w:ascii="Times New Roman" w:hAnsi="Times New Roman" w:cs="Times New Roman"/>
          <w:i/>
          <w:noProof/>
          <w:sz w:val="24"/>
          <w:szCs w:val="24"/>
        </w:rPr>
        <w:t>Brassica rapa L.</w:t>
      </w:r>
      <w:r>
        <w:rPr>
          <w:rFonts w:ascii="Times New Roman" w:hAnsi="Times New Roman" w:cs="Times New Roman"/>
          <w:noProof/>
          <w:sz w:val="24"/>
          <w:szCs w:val="24"/>
        </w:rPr>
        <w:t>) t</w:t>
      </w:r>
      <w:r w:rsidRPr="00BA7DA8">
        <w:rPr>
          <w:rFonts w:ascii="Times New Roman" w:hAnsi="Times New Roman" w:cs="Times New Roman"/>
          <w:noProof/>
          <w:sz w:val="24"/>
          <w:szCs w:val="24"/>
        </w:rPr>
        <w:t xml:space="preserve">erhadap Cekaman NaCl. </w:t>
      </w:r>
      <w:r w:rsidRPr="00BA7DA8">
        <w:rPr>
          <w:rFonts w:ascii="Times New Roman" w:hAnsi="Times New Roman" w:cs="Times New Roman"/>
          <w:i/>
          <w:iCs/>
          <w:noProof/>
          <w:sz w:val="24"/>
          <w:szCs w:val="24"/>
        </w:rPr>
        <w:t>STIGMA: Jurnal Matematika Dan Ilmu Pengetahuan Alam Unipa</w:t>
      </w:r>
      <w:r>
        <w:rPr>
          <w:rFonts w:ascii="Times New Roman" w:hAnsi="Times New Roman" w:cs="Times New Roman"/>
          <w:noProof/>
          <w:sz w:val="24"/>
          <w:szCs w:val="24"/>
        </w:rPr>
        <w:t xml:space="preserve"> </w:t>
      </w:r>
      <w:r w:rsidRPr="00F92A3B">
        <w:rPr>
          <w:rFonts w:ascii="Times New Roman" w:hAnsi="Times New Roman" w:cs="Times New Roman"/>
          <w:iCs/>
          <w:noProof/>
          <w:sz w:val="24"/>
          <w:szCs w:val="24"/>
        </w:rPr>
        <w:t>10</w:t>
      </w:r>
      <w:r>
        <w:rPr>
          <w:rFonts w:ascii="Times New Roman" w:hAnsi="Times New Roman" w:cs="Times New Roman"/>
          <w:noProof/>
          <w:sz w:val="24"/>
          <w:szCs w:val="24"/>
        </w:rPr>
        <w:t>(02):</w:t>
      </w:r>
      <w:r w:rsidRPr="00BA7DA8">
        <w:rPr>
          <w:rFonts w:ascii="Times New Roman" w:hAnsi="Times New Roman" w:cs="Times New Roman"/>
          <w:noProof/>
          <w:sz w:val="24"/>
          <w:szCs w:val="24"/>
        </w:rPr>
        <w:t xml:space="preserve"> 58–67. </w:t>
      </w:r>
    </w:p>
    <w:p w:rsidR="00A8724A" w:rsidRPr="00BA7DA8" w:rsidRDefault="00A8724A" w:rsidP="00A872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A7DA8">
        <w:rPr>
          <w:rFonts w:ascii="Times New Roman" w:hAnsi="Times New Roman" w:cs="Times New Roman"/>
          <w:noProof/>
          <w:sz w:val="24"/>
          <w:szCs w:val="24"/>
        </w:rPr>
        <w:t>Anjani, B. P. T., Bambang Budi Santoso, &amp;</w:t>
      </w:r>
      <w:r>
        <w:rPr>
          <w:rFonts w:ascii="Times New Roman" w:hAnsi="Times New Roman" w:cs="Times New Roman"/>
          <w:noProof/>
          <w:sz w:val="24"/>
          <w:szCs w:val="24"/>
        </w:rPr>
        <w:t xml:space="preserve"> Sumarjan. (2022). Pertumbuhan d</w:t>
      </w:r>
      <w:r w:rsidRPr="00BA7DA8">
        <w:rPr>
          <w:rFonts w:ascii="Times New Roman" w:hAnsi="Times New Roman" w:cs="Times New Roman"/>
          <w:noProof/>
          <w:sz w:val="24"/>
          <w:szCs w:val="24"/>
        </w:rPr>
        <w:t>an Hasil Sawi Pakcoy (</w:t>
      </w:r>
      <w:r w:rsidRPr="00F92A3B">
        <w:rPr>
          <w:rFonts w:ascii="Times New Roman" w:hAnsi="Times New Roman" w:cs="Times New Roman"/>
          <w:i/>
          <w:noProof/>
          <w:sz w:val="24"/>
          <w:szCs w:val="24"/>
        </w:rPr>
        <w:t>Brassica rapa L</w:t>
      </w:r>
      <w:r>
        <w:rPr>
          <w:rFonts w:ascii="Times New Roman" w:hAnsi="Times New Roman" w:cs="Times New Roman"/>
          <w:noProof/>
          <w:sz w:val="24"/>
          <w:szCs w:val="24"/>
        </w:rPr>
        <w:t>.) Sistem Tanam Wadah p</w:t>
      </w:r>
      <w:r w:rsidRPr="00BA7DA8">
        <w:rPr>
          <w:rFonts w:ascii="Times New Roman" w:hAnsi="Times New Roman" w:cs="Times New Roman"/>
          <w:noProof/>
          <w:sz w:val="24"/>
          <w:szCs w:val="24"/>
        </w:rPr>
        <w:t xml:space="preserve">ada Berbagai Dosis Pupuk Kascing. </w:t>
      </w:r>
      <w:r w:rsidRPr="00BA7DA8">
        <w:rPr>
          <w:rFonts w:ascii="Times New Roman" w:hAnsi="Times New Roman" w:cs="Times New Roman"/>
          <w:i/>
          <w:iCs/>
          <w:noProof/>
          <w:sz w:val="24"/>
          <w:szCs w:val="24"/>
        </w:rPr>
        <w:t>Jurnal Ilmiah Mahasiswa Agrokomplek</w:t>
      </w:r>
      <w:r w:rsidRPr="00BA7DA8">
        <w:rPr>
          <w:rFonts w:ascii="Times New Roman" w:hAnsi="Times New Roman" w:cs="Times New Roman"/>
          <w:noProof/>
          <w:sz w:val="24"/>
          <w:szCs w:val="24"/>
        </w:rPr>
        <w:t xml:space="preserve"> </w:t>
      </w:r>
      <w:r w:rsidRPr="00F92A3B">
        <w:rPr>
          <w:rFonts w:ascii="Times New Roman" w:hAnsi="Times New Roman" w:cs="Times New Roman"/>
          <w:iCs/>
          <w:noProof/>
          <w:sz w:val="24"/>
          <w:szCs w:val="24"/>
        </w:rPr>
        <w:t>1</w:t>
      </w:r>
      <w:r>
        <w:rPr>
          <w:rFonts w:ascii="Times New Roman" w:hAnsi="Times New Roman" w:cs="Times New Roman"/>
          <w:noProof/>
          <w:sz w:val="24"/>
          <w:szCs w:val="24"/>
        </w:rPr>
        <w:t>(1):</w:t>
      </w:r>
      <w:r w:rsidRPr="00BA7DA8">
        <w:rPr>
          <w:rFonts w:ascii="Times New Roman" w:hAnsi="Times New Roman" w:cs="Times New Roman"/>
          <w:noProof/>
          <w:sz w:val="24"/>
          <w:szCs w:val="24"/>
        </w:rPr>
        <w:t xml:space="preserve"> 1–9. </w:t>
      </w:r>
    </w:p>
    <w:p w:rsidR="00A8724A" w:rsidRPr="00BA7DA8" w:rsidRDefault="00A8724A" w:rsidP="00A872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A7DA8">
        <w:rPr>
          <w:rFonts w:ascii="Times New Roman" w:hAnsi="Times New Roman" w:cs="Times New Roman"/>
          <w:noProof/>
          <w:sz w:val="24"/>
          <w:szCs w:val="24"/>
        </w:rPr>
        <w:t>Aulia, F., Susanti, H., &amp; Fikri, E. N. (2016). Pengaruh Pemberian Pupuk Hayati dan Mikoriza terhadap Intensitas Serangan Penyakit Layu Bakteri (R</w:t>
      </w:r>
      <w:r w:rsidRPr="00F92A3B">
        <w:rPr>
          <w:rFonts w:ascii="Times New Roman" w:hAnsi="Times New Roman" w:cs="Times New Roman"/>
          <w:i/>
          <w:noProof/>
          <w:sz w:val="24"/>
          <w:szCs w:val="24"/>
        </w:rPr>
        <w:t>alstonia solanacearum</w:t>
      </w:r>
      <w:r w:rsidRPr="00BA7DA8">
        <w:rPr>
          <w:rFonts w:ascii="Times New Roman" w:hAnsi="Times New Roman" w:cs="Times New Roman"/>
          <w:noProof/>
          <w:sz w:val="24"/>
          <w:szCs w:val="24"/>
        </w:rPr>
        <w:t xml:space="preserve">), Pertumbuhan, dan Hasil Tanaman Tomat. </w:t>
      </w:r>
      <w:r w:rsidRPr="00BA7DA8">
        <w:rPr>
          <w:rFonts w:ascii="Times New Roman" w:hAnsi="Times New Roman" w:cs="Times New Roman"/>
          <w:i/>
          <w:iCs/>
          <w:noProof/>
          <w:sz w:val="24"/>
          <w:szCs w:val="24"/>
        </w:rPr>
        <w:t>Jurnal ZIiraa’ah</w:t>
      </w:r>
      <w:r>
        <w:rPr>
          <w:rFonts w:ascii="Times New Roman" w:hAnsi="Times New Roman" w:cs="Times New Roman"/>
          <w:noProof/>
          <w:sz w:val="24"/>
          <w:szCs w:val="24"/>
        </w:rPr>
        <w:t xml:space="preserve"> </w:t>
      </w:r>
      <w:r w:rsidRPr="00F92A3B">
        <w:rPr>
          <w:rFonts w:ascii="Times New Roman" w:hAnsi="Times New Roman" w:cs="Times New Roman"/>
          <w:iCs/>
          <w:noProof/>
          <w:sz w:val="24"/>
          <w:szCs w:val="24"/>
        </w:rPr>
        <w:t>41</w:t>
      </w:r>
      <w:r>
        <w:rPr>
          <w:rFonts w:ascii="Times New Roman" w:hAnsi="Times New Roman" w:cs="Times New Roman"/>
          <w:noProof/>
          <w:sz w:val="24"/>
          <w:szCs w:val="24"/>
        </w:rPr>
        <w:t xml:space="preserve">(2): </w:t>
      </w:r>
      <w:r w:rsidRPr="00BA7DA8">
        <w:rPr>
          <w:rFonts w:ascii="Times New Roman" w:hAnsi="Times New Roman" w:cs="Times New Roman"/>
          <w:noProof/>
          <w:sz w:val="24"/>
          <w:szCs w:val="24"/>
        </w:rPr>
        <w:t>250–260.</w:t>
      </w:r>
    </w:p>
    <w:p w:rsidR="00A8724A" w:rsidRPr="00BA7DA8" w:rsidRDefault="00A8724A" w:rsidP="00A872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A7DA8">
        <w:rPr>
          <w:rFonts w:ascii="Times New Roman" w:hAnsi="Times New Roman" w:cs="Times New Roman"/>
          <w:noProof/>
          <w:sz w:val="24"/>
          <w:szCs w:val="24"/>
        </w:rPr>
        <w:t>Balogun, D. A., Oke, M. A., Rocha-Meneses, L., Fawole, O. B., &amp; Omoj</w:t>
      </w:r>
      <w:r>
        <w:rPr>
          <w:rFonts w:ascii="Times New Roman" w:hAnsi="Times New Roman" w:cs="Times New Roman"/>
          <w:noProof/>
          <w:sz w:val="24"/>
          <w:szCs w:val="24"/>
        </w:rPr>
        <w:t>asola, P. F. (2022). Phosphate S</w:t>
      </w:r>
      <w:r w:rsidRPr="00BA7DA8">
        <w:rPr>
          <w:rFonts w:ascii="Times New Roman" w:hAnsi="Times New Roman" w:cs="Times New Roman"/>
          <w:noProof/>
          <w:sz w:val="24"/>
          <w:szCs w:val="24"/>
        </w:rPr>
        <w:t xml:space="preserve">olubilization </w:t>
      </w:r>
      <w:r>
        <w:rPr>
          <w:rFonts w:ascii="Times New Roman" w:hAnsi="Times New Roman" w:cs="Times New Roman"/>
          <w:noProof/>
          <w:sz w:val="24"/>
          <w:szCs w:val="24"/>
        </w:rPr>
        <w:t>Potential of Indigenous Rhizosphere Fungi and Their Biofertilizer F</w:t>
      </w:r>
      <w:r w:rsidRPr="00BA7DA8">
        <w:rPr>
          <w:rFonts w:ascii="Times New Roman" w:hAnsi="Times New Roman" w:cs="Times New Roman"/>
          <w:noProof/>
          <w:sz w:val="24"/>
          <w:szCs w:val="24"/>
        </w:rPr>
        <w:t xml:space="preserve">ormulations. </w:t>
      </w:r>
      <w:r w:rsidRPr="00BA7DA8">
        <w:rPr>
          <w:rFonts w:ascii="Times New Roman" w:hAnsi="Times New Roman" w:cs="Times New Roman"/>
          <w:i/>
          <w:iCs/>
          <w:noProof/>
          <w:sz w:val="24"/>
          <w:szCs w:val="24"/>
        </w:rPr>
        <w:t>Agronomy Research</w:t>
      </w:r>
      <w:r>
        <w:rPr>
          <w:rFonts w:ascii="Times New Roman" w:hAnsi="Times New Roman" w:cs="Times New Roman"/>
          <w:noProof/>
          <w:sz w:val="24"/>
          <w:szCs w:val="24"/>
        </w:rPr>
        <w:t xml:space="preserve"> </w:t>
      </w:r>
      <w:r w:rsidRPr="00F92A3B">
        <w:rPr>
          <w:rFonts w:ascii="Times New Roman" w:hAnsi="Times New Roman" w:cs="Times New Roman"/>
          <w:iCs/>
          <w:noProof/>
          <w:sz w:val="24"/>
          <w:szCs w:val="24"/>
        </w:rPr>
        <w:t>20</w:t>
      </w:r>
      <w:r>
        <w:rPr>
          <w:rFonts w:ascii="Times New Roman" w:hAnsi="Times New Roman" w:cs="Times New Roman"/>
          <w:noProof/>
          <w:sz w:val="24"/>
          <w:szCs w:val="24"/>
        </w:rPr>
        <w:t>(1):</w:t>
      </w:r>
      <w:r w:rsidRPr="00BA7DA8">
        <w:rPr>
          <w:rFonts w:ascii="Times New Roman" w:hAnsi="Times New Roman" w:cs="Times New Roman"/>
          <w:noProof/>
          <w:sz w:val="24"/>
          <w:szCs w:val="24"/>
        </w:rPr>
        <w:t xml:space="preserve"> 40–55. </w:t>
      </w:r>
    </w:p>
    <w:p w:rsidR="00A8724A" w:rsidRPr="00BA7DA8" w:rsidRDefault="00A8724A" w:rsidP="00A872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A7DA8">
        <w:rPr>
          <w:rFonts w:ascii="Times New Roman" w:hAnsi="Times New Roman" w:cs="Times New Roman"/>
          <w:noProof/>
          <w:sz w:val="24"/>
          <w:szCs w:val="24"/>
        </w:rPr>
        <w:t xml:space="preserve">Benu, M. M. M., Tae, A. S. J. A., &amp; Mukkun, L. (2020). Dampak Residu Insektisida terhadap Keanekaragaman Jamur Tanah pada Lahan Sayuran Sawi. </w:t>
      </w:r>
      <w:r w:rsidRPr="00BA7DA8">
        <w:rPr>
          <w:rFonts w:ascii="Times New Roman" w:hAnsi="Times New Roman" w:cs="Times New Roman"/>
          <w:i/>
          <w:iCs/>
          <w:noProof/>
          <w:sz w:val="24"/>
          <w:szCs w:val="24"/>
        </w:rPr>
        <w:t>Jurnah Ilmu Tanah Dan Lingkungan</w:t>
      </w:r>
      <w:r>
        <w:rPr>
          <w:rFonts w:ascii="Times New Roman" w:hAnsi="Times New Roman" w:cs="Times New Roman"/>
          <w:noProof/>
          <w:sz w:val="24"/>
          <w:szCs w:val="24"/>
        </w:rPr>
        <w:t xml:space="preserve"> </w:t>
      </w:r>
      <w:r w:rsidRPr="00F92A3B">
        <w:rPr>
          <w:rFonts w:ascii="Times New Roman" w:hAnsi="Times New Roman" w:cs="Times New Roman"/>
          <w:iCs/>
          <w:noProof/>
          <w:sz w:val="24"/>
          <w:szCs w:val="24"/>
        </w:rPr>
        <w:t>22</w:t>
      </w:r>
      <w:r>
        <w:rPr>
          <w:rFonts w:ascii="Times New Roman" w:hAnsi="Times New Roman" w:cs="Times New Roman"/>
          <w:noProof/>
          <w:sz w:val="24"/>
          <w:szCs w:val="24"/>
        </w:rPr>
        <w:t>(2):</w:t>
      </w:r>
      <w:r w:rsidRPr="00BA7DA8">
        <w:rPr>
          <w:rFonts w:ascii="Times New Roman" w:hAnsi="Times New Roman" w:cs="Times New Roman"/>
          <w:noProof/>
          <w:sz w:val="24"/>
          <w:szCs w:val="24"/>
        </w:rPr>
        <w:t xml:space="preserve"> 80–88.</w:t>
      </w:r>
    </w:p>
    <w:p w:rsidR="00A8724A" w:rsidRPr="00BA7DA8" w:rsidRDefault="00A8724A" w:rsidP="00A872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A7DA8">
        <w:rPr>
          <w:rFonts w:ascii="Times New Roman" w:hAnsi="Times New Roman" w:cs="Times New Roman"/>
          <w:noProof/>
          <w:sz w:val="24"/>
          <w:szCs w:val="24"/>
        </w:rPr>
        <w:t xml:space="preserve">Guo, L., Li, H., Cao, X., Cao, A., &amp; Huang, M. (2021). Effect of Agricultural Subsidies on The Use of Chemical Fertilizer. </w:t>
      </w:r>
      <w:r w:rsidRPr="00BA7DA8">
        <w:rPr>
          <w:rFonts w:ascii="Times New Roman" w:hAnsi="Times New Roman" w:cs="Times New Roman"/>
          <w:i/>
          <w:iCs/>
          <w:noProof/>
          <w:sz w:val="24"/>
          <w:szCs w:val="24"/>
        </w:rPr>
        <w:t>Journal of Environmental Management</w:t>
      </w:r>
      <w:r w:rsidRPr="00BA7DA8">
        <w:rPr>
          <w:rFonts w:ascii="Times New Roman" w:hAnsi="Times New Roman" w:cs="Times New Roman"/>
          <w:noProof/>
          <w:sz w:val="24"/>
          <w:szCs w:val="24"/>
        </w:rPr>
        <w:t xml:space="preserve">, </w:t>
      </w:r>
      <w:r w:rsidRPr="00BA7DA8">
        <w:rPr>
          <w:rFonts w:ascii="Times New Roman" w:hAnsi="Times New Roman" w:cs="Times New Roman"/>
          <w:i/>
          <w:iCs/>
          <w:noProof/>
          <w:sz w:val="24"/>
          <w:szCs w:val="24"/>
        </w:rPr>
        <w:t>299</w:t>
      </w:r>
      <w:r>
        <w:rPr>
          <w:rFonts w:ascii="Times New Roman" w:hAnsi="Times New Roman" w:cs="Times New Roman"/>
          <w:noProof/>
          <w:sz w:val="24"/>
          <w:szCs w:val="24"/>
        </w:rPr>
        <w:t xml:space="preserve">(August): </w:t>
      </w:r>
      <w:r w:rsidRPr="00BA7DA8">
        <w:rPr>
          <w:rFonts w:ascii="Times New Roman" w:hAnsi="Times New Roman" w:cs="Times New Roman"/>
          <w:noProof/>
          <w:sz w:val="24"/>
          <w:szCs w:val="24"/>
        </w:rPr>
        <w:t xml:space="preserve">113621. </w:t>
      </w:r>
    </w:p>
    <w:p w:rsidR="00A8724A" w:rsidRPr="00BA7DA8" w:rsidRDefault="00A8724A" w:rsidP="00A872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A7DA8">
        <w:rPr>
          <w:rFonts w:ascii="Times New Roman" w:hAnsi="Times New Roman" w:cs="Times New Roman"/>
          <w:noProof/>
          <w:sz w:val="24"/>
          <w:szCs w:val="24"/>
        </w:rPr>
        <w:t xml:space="preserve">Hammad, H. M., Khaliq, A., Abbas, F., Farhad, W., Fahad, S., Aslam, M., Shah, G. M., Nasim, W., Mubeen, M., &amp; Bakhat, H. F. (2020). Comparative Effects of Organic and Inorganic Fertilizers on Soil Organic Carbon and Wheat Productivity under Arid Region. </w:t>
      </w:r>
      <w:r w:rsidRPr="00BA7DA8">
        <w:rPr>
          <w:rFonts w:ascii="Times New Roman" w:hAnsi="Times New Roman" w:cs="Times New Roman"/>
          <w:i/>
          <w:iCs/>
          <w:noProof/>
          <w:sz w:val="24"/>
          <w:szCs w:val="24"/>
        </w:rPr>
        <w:t>Communications in Soil Science and Plant Analysis</w:t>
      </w:r>
      <w:r>
        <w:rPr>
          <w:rFonts w:ascii="Times New Roman" w:hAnsi="Times New Roman" w:cs="Times New Roman"/>
          <w:noProof/>
          <w:sz w:val="24"/>
          <w:szCs w:val="24"/>
        </w:rPr>
        <w:t xml:space="preserve"> </w:t>
      </w:r>
      <w:r w:rsidRPr="00D853B3">
        <w:rPr>
          <w:rFonts w:ascii="Times New Roman" w:hAnsi="Times New Roman" w:cs="Times New Roman"/>
          <w:iCs/>
          <w:noProof/>
          <w:sz w:val="24"/>
          <w:szCs w:val="24"/>
        </w:rPr>
        <w:t>51</w:t>
      </w:r>
      <w:r>
        <w:rPr>
          <w:rFonts w:ascii="Times New Roman" w:hAnsi="Times New Roman" w:cs="Times New Roman"/>
          <w:noProof/>
          <w:sz w:val="24"/>
          <w:szCs w:val="24"/>
        </w:rPr>
        <w:t>(10):</w:t>
      </w:r>
      <w:r w:rsidRPr="00BA7DA8">
        <w:rPr>
          <w:rFonts w:ascii="Times New Roman" w:hAnsi="Times New Roman" w:cs="Times New Roman"/>
          <w:noProof/>
          <w:sz w:val="24"/>
          <w:szCs w:val="24"/>
        </w:rPr>
        <w:t xml:space="preserve"> 1406–1422. </w:t>
      </w:r>
    </w:p>
    <w:p w:rsidR="00A8724A" w:rsidRPr="00BA7DA8" w:rsidRDefault="00A8724A" w:rsidP="00A872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A7DA8">
        <w:rPr>
          <w:rFonts w:ascii="Times New Roman" w:hAnsi="Times New Roman" w:cs="Times New Roman"/>
          <w:noProof/>
          <w:sz w:val="24"/>
          <w:szCs w:val="24"/>
        </w:rPr>
        <w:t xml:space="preserve">Hastuti, Y. P. (2011). Nitrifikasi dan denitrifikasi di tambak. </w:t>
      </w:r>
      <w:r w:rsidRPr="00BA7DA8">
        <w:rPr>
          <w:rFonts w:ascii="Times New Roman" w:hAnsi="Times New Roman" w:cs="Times New Roman"/>
          <w:i/>
          <w:iCs/>
          <w:noProof/>
          <w:sz w:val="24"/>
          <w:szCs w:val="24"/>
        </w:rPr>
        <w:t>Jurnal Akuakultur Indonesia</w:t>
      </w:r>
      <w:r>
        <w:rPr>
          <w:rFonts w:ascii="Times New Roman" w:hAnsi="Times New Roman" w:cs="Times New Roman"/>
          <w:noProof/>
          <w:sz w:val="24"/>
          <w:szCs w:val="24"/>
        </w:rPr>
        <w:t xml:space="preserve"> </w:t>
      </w:r>
      <w:r w:rsidRPr="00D853B3">
        <w:rPr>
          <w:rFonts w:ascii="Times New Roman" w:hAnsi="Times New Roman" w:cs="Times New Roman"/>
          <w:iCs/>
          <w:noProof/>
          <w:sz w:val="24"/>
          <w:szCs w:val="24"/>
        </w:rPr>
        <w:t>10</w:t>
      </w:r>
      <w:r w:rsidRPr="00D853B3">
        <w:rPr>
          <w:rFonts w:ascii="Times New Roman" w:hAnsi="Times New Roman" w:cs="Times New Roman"/>
          <w:noProof/>
          <w:sz w:val="24"/>
          <w:szCs w:val="24"/>
        </w:rPr>
        <w:t>(1)</w:t>
      </w:r>
      <w:r>
        <w:rPr>
          <w:rFonts w:ascii="Times New Roman" w:hAnsi="Times New Roman" w:cs="Times New Roman"/>
          <w:noProof/>
          <w:sz w:val="24"/>
          <w:szCs w:val="24"/>
        </w:rPr>
        <w:t xml:space="preserve">: </w:t>
      </w:r>
      <w:r w:rsidRPr="00BA7DA8">
        <w:rPr>
          <w:rFonts w:ascii="Times New Roman" w:hAnsi="Times New Roman" w:cs="Times New Roman"/>
          <w:noProof/>
          <w:sz w:val="24"/>
          <w:szCs w:val="24"/>
        </w:rPr>
        <w:t xml:space="preserve"> 89–98.</w:t>
      </w:r>
    </w:p>
    <w:p w:rsidR="00A8724A" w:rsidRPr="00BA7DA8" w:rsidRDefault="00A8724A" w:rsidP="00A872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Kaya, E., </w:t>
      </w:r>
      <w:r w:rsidRPr="00BA7DA8">
        <w:rPr>
          <w:rFonts w:ascii="Times New Roman" w:hAnsi="Times New Roman" w:cs="Times New Roman"/>
          <w:noProof/>
          <w:sz w:val="24"/>
          <w:szCs w:val="24"/>
        </w:rPr>
        <w:t>Ch, S.</w:t>
      </w:r>
      <w:r>
        <w:rPr>
          <w:rFonts w:ascii="Times New Roman" w:hAnsi="Times New Roman" w:cs="Times New Roman"/>
          <w:noProof/>
          <w:sz w:val="24"/>
          <w:szCs w:val="24"/>
        </w:rPr>
        <w:t>, &amp; Y, Risambessy</w:t>
      </w:r>
      <w:r w:rsidRPr="00BA7DA8">
        <w:rPr>
          <w:rFonts w:ascii="Times New Roman" w:hAnsi="Times New Roman" w:cs="Times New Roman"/>
          <w:noProof/>
          <w:sz w:val="24"/>
          <w:szCs w:val="24"/>
        </w:rPr>
        <w:t xml:space="preserve"> (2017). Pengaruh Pemberian Pupuk Organik Cair dan Mikroorganisme terhadap Keasaman dan P-Tersedia pada Tanah Ultisol. </w:t>
      </w:r>
      <w:r w:rsidRPr="00BA7DA8">
        <w:rPr>
          <w:rFonts w:ascii="Times New Roman" w:hAnsi="Times New Roman" w:cs="Times New Roman"/>
          <w:i/>
          <w:iCs/>
          <w:noProof/>
          <w:sz w:val="24"/>
          <w:szCs w:val="24"/>
        </w:rPr>
        <w:t>Jurnal Mikologi Indonesia</w:t>
      </w:r>
      <w:r w:rsidRPr="00BA7DA8">
        <w:rPr>
          <w:rFonts w:ascii="Times New Roman" w:hAnsi="Times New Roman" w:cs="Times New Roman"/>
          <w:noProof/>
          <w:sz w:val="24"/>
          <w:szCs w:val="24"/>
        </w:rPr>
        <w:t xml:space="preserve"> </w:t>
      </w:r>
      <w:r w:rsidRPr="00D853B3">
        <w:rPr>
          <w:rFonts w:ascii="Times New Roman" w:hAnsi="Times New Roman" w:cs="Times New Roman"/>
          <w:iCs/>
          <w:noProof/>
          <w:sz w:val="24"/>
          <w:szCs w:val="24"/>
        </w:rPr>
        <w:t>1</w:t>
      </w:r>
      <w:r>
        <w:rPr>
          <w:rFonts w:ascii="Times New Roman" w:hAnsi="Times New Roman" w:cs="Times New Roman"/>
          <w:noProof/>
          <w:sz w:val="24"/>
          <w:szCs w:val="24"/>
        </w:rPr>
        <w:t>(2):</w:t>
      </w:r>
      <w:r w:rsidRPr="00BA7DA8">
        <w:rPr>
          <w:rFonts w:ascii="Times New Roman" w:hAnsi="Times New Roman" w:cs="Times New Roman"/>
          <w:noProof/>
          <w:sz w:val="24"/>
          <w:szCs w:val="24"/>
        </w:rPr>
        <w:t xml:space="preserve"> 91–99.</w:t>
      </w:r>
    </w:p>
    <w:p w:rsidR="00A8724A" w:rsidRPr="00BA7DA8" w:rsidRDefault="00A8724A" w:rsidP="00A872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A7DA8">
        <w:rPr>
          <w:rFonts w:ascii="Times New Roman" w:hAnsi="Times New Roman" w:cs="Times New Roman"/>
          <w:noProof/>
          <w:sz w:val="24"/>
          <w:szCs w:val="24"/>
        </w:rPr>
        <w:t xml:space="preserve">Li, X., Qu, Z., Zhang, Y., Ge, Y., &amp; Sun, H. (2022). Soil Fungal Community and Potential Function in Different Forest Ecosystems. </w:t>
      </w:r>
      <w:r w:rsidRPr="00BA7DA8">
        <w:rPr>
          <w:rFonts w:ascii="Times New Roman" w:hAnsi="Times New Roman" w:cs="Times New Roman"/>
          <w:i/>
          <w:iCs/>
          <w:noProof/>
          <w:sz w:val="24"/>
          <w:szCs w:val="24"/>
        </w:rPr>
        <w:t>Diversity</w:t>
      </w:r>
      <w:r>
        <w:rPr>
          <w:rFonts w:ascii="Times New Roman" w:hAnsi="Times New Roman" w:cs="Times New Roman"/>
          <w:noProof/>
          <w:sz w:val="24"/>
          <w:szCs w:val="24"/>
        </w:rPr>
        <w:t xml:space="preserve"> </w:t>
      </w:r>
      <w:r w:rsidRPr="00D853B3">
        <w:rPr>
          <w:rFonts w:ascii="Times New Roman" w:hAnsi="Times New Roman" w:cs="Times New Roman"/>
          <w:iCs/>
          <w:noProof/>
          <w:sz w:val="24"/>
          <w:szCs w:val="24"/>
        </w:rPr>
        <w:t>14</w:t>
      </w:r>
      <w:r w:rsidRPr="00D853B3">
        <w:rPr>
          <w:rFonts w:ascii="Times New Roman" w:hAnsi="Times New Roman" w:cs="Times New Roman"/>
          <w:noProof/>
          <w:sz w:val="24"/>
          <w:szCs w:val="24"/>
        </w:rPr>
        <w:t>(7)</w:t>
      </w:r>
      <w:r>
        <w:rPr>
          <w:rFonts w:ascii="Times New Roman" w:hAnsi="Times New Roman" w:cs="Times New Roman"/>
          <w:noProof/>
          <w:sz w:val="24"/>
          <w:szCs w:val="24"/>
        </w:rPr>
        <w:t>:</w:t>
      </w:r>
      <w:r w:rsidRPr="00BA7DA8">
        <w:rPr>
          <w:rFonts w:ascii="Times New Roman" w:hAnsi="Times New Roman" w:cs="Times New Roman"/>
          <w:noProof/>
          <w:sz w:val="24"/>
          <w:szCs w:val="24"/>
        </w:rPr>
        <w:t xml:space="preserve"> 1–12. </w:t>
      </w:r>
    </w:p>
    <w:p w:rsidR="00A8724A" w:rsidRPr="00BA7DA8" w:rsidRDefault="00A8724A" w:rsidP="00A872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A7DA8">
        <w:rPr>
          <w:rFonts w:ascii="Times New Roman" w:hAnsi="Times New Roman" w:cs="Times New Roman"/>
          <w:noProof/>
          <w:sz w:val="24"/>
          <w:szCs w:val="24"/>
        </w:rPr>
        <w:t xml:space="preserve">Li, X., Sun, X., Wang, G., Amombo, E., Zhou, X., Du, Z., Zhang, Y., Xie, Y., &amp; Fu, J. (2019). </w:t>
      </w:r>
      <w:r>
        <w:rPr>
          <w:rFonts w:ascii="Times New Roman" w:hAnsi="Times New Roman" w:cs="Times New Roman"/>
          <w:noProof/>
          <w:sz w:val="24"/>
          <w:szCs w:val="24"/>
        </w:rPr>
        <w:t>Inoculation w</w:t>
      </w:r>
      <w:r w:rsidRPr="00BA7DA8">
        <w:rPr>
          <w:rFonts w:ascii="Times New Roman" w:hAnsi="Times New Roman" w:cs="Times New Roman"/>
          <w:noProof/>
          <w:sz w:val="24"/>
          <w:szCs w:val="24"/>
        </w:rPr>
        <w:t>it</w:t>
      </w:r>
      <w:r>
        <w:rPr>
          <w:rFonts w:ascii="Times New Roman" w:hAnsi="Times New Roman" w:cs="Times New Roman"/>
          <w:noProof/>
          <w:sz w:val="24"/>
          <w:szCs w:val="24"/>
        </w:rPr>
        <w:t xml:space="preserve">h </w:t>
      </w:r>
      <w:r w:rsidRPr="00D853B3">
        <w:rPr>
          <w:rFonts w:ascii="Times New Roman" w:hAnsi="Times New Roman" w:cs="Times New Roman"/>
          <w:i/>
          <w:noProof/>
          <w:sz w:val="24"/>
          <w:szCs w:val="24"/>
        </w:rPr>
        <w:t>Aspergillus Aculeatus</w:t>
      </w:r>
      <w:r>
        <w:rPr>
          <w:rFonts w:ascii="Times New Roman" w:hAnsi="Times New Roman" w:cs="Times New Roman"/>
          <w:noProof/>
          <w:sz w:val="24"/>
          <w:szCs w:val="24"/>
        </w:rPr>
        <w:t xml:space="preserve"> Alters the Performance of Perennial Ryegrass u</w:t>
      </w:r>
      <w:r w:rsidRPr="00BA7DA8">
        <w:rPr>
          <w:rFonts w:ascii="Times New Roman" w:hAnsi="Times New Roman" w:cs="Times New Roman"/>
          <w:noProof/>
          <w:sz w:val="24"/>
          <w:szCs w:val="24"/>
        </w:rPr>
        <w:t xml:space="preserve">nder Phosphorus Deficiency. </w:t>
      </w:r>
      <w:r w:rsidRPr="00BA7DA8">
        <w:rPr>
          <w:rFonts w:ascii="Times New Roman" w:hAnsi="Times New Roman" w:cs="Times New Roman"/>
          <w:i/>
          <w:iCs/>
          <w:noProof/>
          <w:sz w:val="24"/>
          <w:szCs w:val="24"/>
        </w:rPr>
        <w:t>Journal of the American Society for Horticultural Science</w:t>
      </w:r>
      <w:r>
        <w:rPr>
          <w:rFonts w:ascii="Times New Roman" w:hAnsi="Times New Roman" w:cs="Times New Roman"/>
          <w:noProof/>
          <w:sz w:val="24"/>
          <w:szCs w:val="24"/>
        </w:rPr>
        <w:t xml:space="preserve"> </w:t>
      </w:r>
      <w:r w:rsidRPr="00D853B3">
        <w:rPr>
          <w:rFonts w:ascii="Times New Roman" w:hAnsi="Times New Roman" w:cs="Times New Roman"/>
          <w:iCs/>
          <w:noProof/>
          <w:sz w:val="24"/>
          <w:szCs w:val="24"/>
        </w:rPr>
        <w:t>144</w:t>
      </w:r>
      <w:r>
        <w:rPr>
          <w:rFonts w:ascii="Times New Roman" w:hAnsi="Times New Roman" w:cs="Times New Roman"/>
          <w:noProof/>
          <w:sz w:val="24"/>
          <w:szCs w:val="24"/>
        </w:rPr>
        <w:t xml:space="preserve">(3): </w:t>
      </w:r>
      <w:r w:rsidRPr="00BA7DA8">
        <w:rPr>
          <w:rFonts w:ascii="Times New Roman" w:hAnsi="Times New Roman" w:cs="Times New Roman"/>
          <w:noProof/>
          <w:sz w:val="24"/>
          <w:szCs w:val="24"/>
        </w:rPr>
        <w:t xml:space="preserve">182–192. </w:t>
      </w:r>
    </w:p>
    <w:p w:rsidR="00A8724A" w:rsidRPr="00BA7DA8" w:rsidRDefault="00A8724A" w:rsidP="00A872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A7DA8">
        <w:rPr>
          <w:rFonts w:ascii="Times New Roman" w:hAnsi="Times New Roman" w:cs="Times New Roman"/>
          <w:noProof/>
          <w:sz w:val="24"/>
          <w:szCs w:val="24"/>
        </w:rPr>
        <w:t xml:space="preserve">Li, X., Zhang, T., Xue, Y., Xu, X., Cui, X., &amp; Fu, J. (2023). </w:t>
      </w:r>
      <w:r w:rsidRPr="00D853B3">
        <w:rPr>
          <w:rFonts w:ascii="Times New Roman" w:hAnsi="Times New Roman" w:cs="Times New Roman"/>
          <w:i/>
          <w:noProof/>
          <w:sz w:val="24"/>
          <w:szCs w:val="24"/>
        </w:rPr>
        <w:t>Aspergillus Aculeatus</w:t>
      </w:r>
      <w:r>
        <w:rPr>
          <w:rFonts w:ascii="Times New Roman" w:hAnsi="Times New Roman" w:cs="Times New Roman"/>
          <w:noProof/>
          <w:sz w:val="24"/>
          <w:szCs w:val="24"/>
        </w:rPr>
        <w:t xml:space="preserve"> Enhances Nutrient Uptake a</w:t>
      </w:r>
      <w:r w:rsidRPr="00BA7DA8">
        <w:rPr>
          <w:rFonts w:ascii="Times New Roman" w:hAnsi="Times New Roman" w:cs="Times New Roman"/>
          <w:noProof/>
          <w:sz w:val="24"/>
          <w:szCs w:val="24"/>
        </w:rPr>
        <w:t>nd Forag</w:t>
      </w:r>
      <w:r>
        <w:rPr>
          <w:rFonts w:ascii="Times New Roman" w:hAnsi="Times New Roman" w:cs="Times New Roman"/>
          <w:noProof/>
          <w:sz w:val="24"/>
          <w:szCs w:val="24"/>
        </w:rPr>
        <w:t>e Quality in Bermudagrass by Increasing Phosphorus a</w:t>
      </w:r>
      <w:r w:rsidRPr="00BA7DA8">
        <w:rPr>
          <w:rFonts w:ascii="Times New Roman" w:hAnsi="Times New Roman" w:cs="Times New Roman"/>
          <w:noProof/>
          <w:sz w:val="24"/>
          <w:szCs w:val="24"/>
        </w:rPr>
        <w:t xml:space="preserve">nd Potassium Availability. </w:t>
      </w:r>
      <w:r w:rsidRPr="00BA7DA8">
        <w:rPr>
          <w:rFonts w:ascii="Times New Roman" w:hAnsi="Times New Roman" w:cs="Times New Roman"/>
          <w:i/>
          <w:iCs/>
          <w:noProof/>
          <w:sz w:val="24"/>
          <w:szCs w:val="24"/>
        </w:rPr>
        <w:t>Frontiers in Plant Science</w:t>
      </w:r>
      <w:r>
        <w:rPr>
          <w:rFonts w:ascii="Times New Roman" w:hAnsi="Times New Roman" w:cs="Times New Roman"/>
          <w:noProof/>
          <w:sz w:val="24"/>
          <w:szCs w:val="24"/>
        </w:rPr>
        <w:t xml:space="preserve"> </w:t>
      </w:r>
      <w:r w:rsidRPr="00BA7DA8">
        <w:rPr>
          <w:rFonts w:ascii="Times New Roman" w:hAnsi="Times New Roman" w:cs="Times New Roman"/>
          <w:i/>
          <w:iCs/>
          <w:noProof/>
          <w:sz w:val="24"/>
          <w:szCs w:val="24"/>
        </w:rPr>
        <w:t>14</w:t>
      </w:r>
      <w:r>
        <w:rPr>
          <w:rFonts w:ascii="Times New Roman" w:hAnsi="Times New Roman" w:cs="Times New Roman"/>
          <w:noProof/>
          <w:sz w:val="24"/>
          <w:szCs w:val="24"/>
        </w:rPr>
        <w:t>(April):</w:t>
      </w:r>
      <w:r w:rsidRPr="00BA7DA8">
        <w:rPr>
          <w:rFonts w:ascii="Times New Roman" w:hAnsi="Times New Roman" w:cs="Times New Roman"/>
          <w:noProof/>
          <w:sz w:val="24"/>
          <w:szCs w:val="24"/>
        </w:rPr>
        <w:t xml:space="preserve"> 1–10. </w:t>
      </w:r>
    </w:p>
    <w:p w:rsidR="00A8724A" w:rsidRPr="00BA7DA8" w:rsidRDefault="00A8724A" w:rsidP="00A872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A7DA8">
        <w:rPr>
          <w:rFonts w:ascii="Times New Roman" w:hAnsi="Times New Roman" w:cs="Times New Roman"/>
          <w:noProof/>
          <w:sz w:val="24"/>
          <w:szCs w:val="24"/>
        </w:rPr>
        <w:t xml:space="preserve">Macias-Benitez, S., Garcia-Martinez, A. M., Caballero Jimenez, P., Gonzalez, J. M., </w:t>
      </w:r>
      <w:r w:rsidRPr="00BA7DA8">
        <w:rPr>
          <w:rFonts w:ascii="Times New Roman" w:hAnsi="Times New Roman" w:cs="Times New Roman"/>
          <w:noProof/>
          <w:sz w:val="24"/>
          <w:szCs w:val="24"/>
        </w:rPr>
        <w:lastRenderedPageBreak/>
        <w:t xml:space="preserve">Tejada Moral, M., &amp; Parrado Rubio, J. (2020). Rhizospheric Organic Acids as Biostimulants: Monitoring Feedbacks on Soil Microorganisms and Biochemical Properties. </w:t>
      </w:r>
      <w:r w:rsidRPr="00BA7DA8">
        <w:rPr>
          <w:rFonts w:ascii="Times New Roman" w:hAnsi="Times New Roman" w:cs="Times New Roman"/>
          <w:i/>
          <w:iCs/>
          <w:noProof/>
          <w:sz w:val="24"/>
          <w:szCs w:val="24"/>
        </w:rPr>
        <w:t>Frontiers in Plant Science</w:t>
      </w:r>
      <w:r>
        <w:rPr>
          <w:rFonts w:ascii="Times New Roman" w:hAnsi="Times New Roman" w:cs="Times New Roman"/>
          <w:noProof/>
          <w:sz w:val="24"/>
          <w:szCs w:val="24"/>
        </w:rPr>
        <w:t xml:space="preserve"> </w:t>
      </w:r>
      <w:r w:rsidRPr="00BA7DA8">
        <w:rPr>
          <w:rFonts w:ascii="Times New Roman" w:hAnsi="Times New Roman" w:cs="Times New Roman"/>
          <w:i/>
          <w:iCs/>
          <w:noProof/>
          <w:sz w:val="24"/>
          <w:szCs w:val="24"/>
        </w:rPr>
        <w:t>11</w:t>
      </w:r>
      <w:r>
        <w:rPr>
          <w:rFonts w:ascii="Times New Roman" w:hAnsi="Times New Roman" w:cs="Times New Roman"/>
          <w:noProof/>
          <w:sz w:val="24"/>
          <w:szCs w:val="24"/>
        </w:rPr>
        <w:t xml:space="preserve">: </w:t>
      </w:r>
      <w:r w:rsidRPr="00BA7DA8">
        <w:rPr>
          <w:rFonts w:ascii="Times New Roman" w:hAnsi="Times New Roman" w:cs="Times New Roman"/>
          <w:noProof/>
          <w:sz w:val="24"/>
          <w:szCs w:val="24"/>
        </w:rPr>
        <w:t xml:space="preserve">1–16. </w:t>
      </w:r>
    </w:p>
    <w:p w:rsidR="00A8724A" w:rsidRPr="00BA7DA8" w:rsidRDefault="00A8724A" w:rsidP="00A872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A7DA8">
        <w:rPr>
          <w:rFonts w:ascii="Times New Roman" w:hAnsi="Times New Roman" w:cs="Times New Roman"/>
          <w:noProof/>
          <w:sz w:val="24"/>
          <w:szCs w:val="24"/>
        </w:rPr>
        <w:t xml:space="preserve">Mitter, E. K., Tosi, M., Obregón, D., Dunfield, K. E., &amp; Germida, J. J. (2021). Rethinking Crop Nutrition in Times of Modern Microbiology: Innovative Biofertilizer Technologies. </w:t>
      </w:r>
      <w:r w:rsidRPr="00BA7DA8">
        <w:rPr>
          <w:rFonts w:ascii="Times New Roman" w:hAnsi="Times New Roman" w:cs="Times New Roman"/>
          <w:i/>
          <w:iCs/>
          <w:noProof/>
          <w:sz w:val="24"/>
          <w:szCs w:val="24"/>
        </w:rPr>
        <w:t>Frontiers in Sustainable Food Systems</w:t>
      </w:r>
      <w:r w:rsidRPr="00BA7DA8">
        <w:rPr>
          <w:rFonts w:ascii="Times New Roman" w:hAnsi="Times New Roman" w:cs="Times New Roman"/>
          <w:noProof/>
          <w:sz w:val="24"/>
          <w:szCs w:val="24"/>
        </w:rPr>
        <w:t xml:space="preserve"> </w:t>
      </w:r>
      <w:r w:rsidRPr="00BA7DA8">
        <w:rPr>
          <w:rFonts w:ascii="Times New Roman" w:hAnsi="Times New Roman" w:cs="Times New Roman"/>
          <w:i/>
          <w:iCs/>
          <w:noProof/>
          <w:sz w:val="24"/>
          <w:szCs w:val="24"/>
        </w:rPr>
        <w:t>5</w:t>
      </w:r>
      <w:r>
        <w:rPr>
          <w:rFonts w:ascii="Times New Roman" w:hAnsi="Times New Roman" w:cs="Times New Roman"/>
          <w:noProof/>
          <w:sz w:val="24"/>
          <w:szCs w:val="24"/>
        </w:rPr>
        <w:t>(February):</w:t>
      </w:r>
      <w:r w:rsidRPr="00BA7DA8">
        <w:rPr>
          <w:rFonts w:ascii="Times New Roman" w:hAnsi="Times New Roman" w:cs="Times New Roman"/>
          <w:noProof/>
          <w:sz w:val="24"/>
          <w:szCs w:val="24"/>
        </w:rPr>
        <w:t xml:space="preserve"> 1–23. </w:t>
      </w:r>
    </w:p>
    <w:p w:rsidR="00A8724A" w:rsidRPr="00BA7DA8" w:rsidRDefault="00A8724A" w:rsidP="00A872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A7DA8">
        <w:rPr>
          <w:rFonts w:ascii="Times New Roman" w:hAnsi="Times New Roman" w:cs="Times New Roman"/>
          <w:noProof/>
          <w:sz w:val="24"/>
          <w:szCs w:val="24"/>
        </w:rPr>
        <w:t xml:space="preserve">Mohsen, B., Asadzadeh, F., Masoumeh, H., Edith, C. H., Ramesh, R. V., &amp; Vahedi, R. (2022). Optimization of Biofertilizer Formulation for Phosphorus Solubilizing by Pseudomonas fluorescens Ur21 via Response Surfance Methodology. </w:t>
      </w:r>
      <w:r w:rsidRPr="00BA7DA8">
        <w:rPr>
          <w:rFonts w:ascii="Times New Roman" w:hAnsi="Times New Roman" w:cs="Times New Roman"/>
          <w:i/>
          <w:iCs/>
          <w:noProof/>
          <w:sz w:val="24"/>
          <w:szCs w:val="24"/>
        </w:rPr>
        <w:t>Process</w:t>
      </w:r>
      <w:r>
        <w:rPr>
          <w:rFonts w:ascii="Times New Roman" w:hAnsi="Times New Roman" w:cs="Times New Roman"/>
          <w:noProof/>
          <w:sz w:val="24"/>
          <w:szCs w:val="24"/>
        </w:rPr>
        <w:t xml:space="preserve"> </w:t>
      </w:r>
      <w:r w:rsidRPr="00D853B3">
        <w:rPr>
          <w:rFonts w:ascii="Times New Roman" w:hAnsi="Times New Roman" w:cs="Times New Roman"/>
          <w:iCs/>
          <w:noProof/>
          <w:sz w:val="24"/>
          <w:szCs w:val="24"/>
        </w:rPr>
        <w:t>10</w:t>
      </w:r>
      <w:r>
        <w:rPr>
          <w:rFonts w:ascii="Times New Roman" w:hAnsi="Times New Roman" w:cs="Times New Roman"/>
          <w:noProof/>
          <w:sz w:val="24"/>
          <w:szCs w:val="24"/>
        </w:rPr>
        <w:t xml:space="preserve">(650): </w:t>
      </w:r>
      <w:r w:rsidRPr="00BA7DA8">
        <w:rPr>
          <w:rFonts w:ascii="Times New Roman" w:hAnsi="Times New Roman" w:cs="Times New Roman"/>
          <w:noProof/>
          <w:sz w:val="24"/>
          <w:szCs w:val="24"/>
        </w:rPr>
        <w:t>1–12.</w:t>
      </w:r>
    </w:p>
    <w:p w:rsidR="00A8724A" w:rsidRDefault="00A8724A" w:rsidP="00A872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A7DA8">
        <w:rPr>
          <w:rFonts w:ascii="Times New Roman" w:hAnsi="Times New Roman" w:cs="Times New Roman"/>
          <w:noProof/>
          <w:sz w:val="24"/>
          <w:szCs w:val="24"/>
        </w:rPr>
        <w:t>Moora, M., Davison, J., Öpik, M., Metsis, M., Saks, Ü., Jairus, T., Vasar, M., &amp; Zobel, M. (2014). A</w:t>
      </w:r>
      <w:r>
        <w:rPr>
          <w:rFonts w:ascii="Times New Roman" w:hAnsi="Times New Roman" w:cs="Times New Roman"/>
          <w:noProof/>
          <w:sz w:val="24"/>
          <w:szCs w:val="24"/>
        </w:rPr>
        <w:t>nthropogenic Land Use Shapes the Composition and Phylogenetic Structure o</w:t>
      </w:r>
      <w:r w:rsidRPr="00BA7DA8">
        <w:rPr>
          <w:rFonts w:ascii="Times New Roman" w:hAnsi="Times New Roman" w:cs="Times New Roman"/>
          <w:noProof/>
          <w:sz w:val="24"/>
          <w:szCs w:val="24"/>
        </w:rPr>
        <w:t xml:space="preserve">f Soil Arbuscular Mycorrhizal Fungal Communities. </w:t>
      </w:r>
      <w:r w:rsidRPr="00BA7DA8">
        <w:rPr>
          <w:rFonts w:ascii="Times New Roman" w:hAnsi="Times New Roman" w:cs="Times New Roman"/>
          <w:i/>
          <w:iCs/>
          <w:noProof/>
          <w:sz w:val="24"/>
          <w:szCs w:val="24"/>
        </w:rPr>
        <w:t>FEMS Microbiology Ecology</w:t>
      </w:r>
      <w:r>
        <w:rPr>
          <w:rFonts w:ascii="Times New Roman" w:hAnsi="Times New Roman" w:cs="Times New Roman"/>
          <w:noProof/>
          <w:sz w:val="24"/>
          <w:szCs w:val="24"/>
        </w:rPr>
        <w:t xml:space="preserve"> </w:t>
      </w:r>
      <w:r w:rsidRPr="00D853B3">
        <w:rPr>
          <w:rFonts w:ascii="Times New Roman" w:hAnsi="Times New Roman" w:cs="Times New Roman"/>
          <w:iCs/>
          <w:noProof/>
          <w:sz w:val="24"/>
          <w:szCs w:val="24"/>
        </w:rPr>
        <w:t>90</w:t>
      </w:r>
      <w:r>
        <w:rPr>
          <w:rFonts w:ascii="Times New Roman" w:hAnsi="Times New Roman" w:cs="Times New Roman"/>
          <w:noProof/>
          <w:sz w:val="24"/>
          <w:szCs w:val="24"/>
        </w:rPr>
        <w:t>(3):</w:t>
      </w:r>
      <w:r w:rsidRPr="00BA7DA8">
        <w:rPr>
          <w:rFonts w:ascii="Times New Roman" w:hAnsi="Times New Roman" w:cs="Times New Roman"/>
          <w:noProof/>
          <w:sz w:val="24"/>
          <w:szCs w:val="24"/>
        </w:rPr>
        <w:t xml:space="preserve"> 609–621. </w:t>
      </w:r>
    </w:p>
    <w:p w:rsidR="00A8724A" w:rsidRPr="00BA7DA8" w:rsidRDefault="00A8724A" w:rsidP="00A872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A7DA8">
        <w:rPr>
          <w:rFonts w:ascii="Times New Roman" w:hAnsi="Times New Roman" w:cs="Times New Roman"/>
          <w:noProof/>
          <w:sz w:val="24"/>
          <w:szCs w:val="24"/>
        </w:rPr>
        <w:t>Noviani, N., Sugiyarto, &amp; Sunarto. (20</w:t>
      </w:r>
      <w:r>
        <w:rPr>
          <w:rFonts w:ascii="Times New Roman" w:hAnsi="Times New Roman" w:cs="Times New Roman"/>
          <w:noProof/>
          <w:sz w:val="24"/>
          <w:szCs w:val="24"/>
        </w:rPr>
        <w:t>20). Berbagai Penggunaan Lahan d</w:t>
      </w:r>
      <w:r w:rsidRPr="00BA7DA8">
        <w:rPr>
          <w:rFonts w:ascii="Times New Roman" w:hAnsi="Times New Roman" w:cs="Times New Roman"/>
          <w:noProof/>
          <w:sz w:val="24"/>
          <w:szCs w:val="24"/>
        </w:rPr>
        <w:t xml:space="preserve">i Lereng Gunung Lawu. </w:t>
      </w:r>
      <w:r w:rsidRPr="00BA7DA8">
        <w:rPr>
          <w:rFonts w:ascii="Times New Roman" w:hAnsi="Times New Roman" w:cs="Times New Roman"/>
          <w:i/>
          <w:iCs/>
          <w:noProof/>
          <w:sz w:val="24"/>
          <w:szCs w:val="24"/>
        </w:rPr>
        <w:t>Biological Journal of Indonesia</w:t>
      </w:r>
      <w:r>
        <w:rPr>
          <w:rFonts w:ascii="Times New Roman" w:hAnsi="Times New Roman" w:cs="Times New Roman"/>
          <w:noProof/>
          <w:sz w:val="24"/>
          <w:szCs w:val="24"/>
        </w:rPr>
        <w:t xml:space="preserve"> </w:t>
      </w:r>
      <w:r w:rsidRPr="00D853B3">
        <w:rPr>
          <w:rFonts w:ascii="Times New Roman" w:hAnsi="Times New Roman" w:cs="Times New Roman"/>
          <w:iCs/>
          <w:noProof/>
          <w:sz w:val="24"/>
          <w:szCs w:val="24"/>
        </w:rPr>
        <w:t>01</w:t>
      </w:r>
      <w:r>
        <w:rPr>
          <w:rFonts w:ascii="Times New Roman" w:hAnsi="Times New Roman" w:cs="Times New Roman"/>
          <w:noProof/>
          <w:sz w:val="24"/>
          <w:szCs w:val="24"/>
        </w:rPr>
        <w:t>:</w:t>
      </w:r>
      <w:r w:rsidRPr="00D853B3">
        <w:rPr>
          <w:rFonts w:ascii="Times New Roman" w:hAnsi="Times New Roman" w:cs="Times New Roman"/>
          <w:noProof/>
          <w:sz w:val="24"/>
          <w:szCs w:val="24"/>
        </w:rPr>
        <w:t xml:space="preserve"> </w:t>
      </w:r>
      <w:r w:rsidRPr="00BA7DA8">
        <w:rPr>
          <w:rFonts w:ascii="Times New Roman" w:hAnsi="Times New Roman" w:cs="Times New Roman"/>
          <w:noProof/>
          <w:sz w:val="24"/>
          <w:szCs w:val="24"/>
        </w:rPr>
        <w:t>7–10.</w:t>
      </w:r>
    </w:p>
    <w:p w:rsidR="00A8724A" w:rsidRPr="00BA7DA8" w:rsidRDefault="00A8724A" w:rsidP="00A872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A7DA8">
        <w:rPr>
          <w:rFonts w:ascii="Times New Roman" w:hAnsi="Times New Roman" w:cs="Times New Roman"/>
          <w:noProof/>
          <w:sz w:val="24"/>
          <w:szCs w:val="24"/>
        </w:rPr>
        <w:t>Omomowo, I. O., Shittu, O. E., Omomowo, O. I., &amp; Majolagbe, O. N. (2020). I</w:t>
      </w:r>
      <w:r>
        <w:rPr>
          <w:rFonts w:ascii="Times New Roman" w:hAnsi="Times New Roman" w:cs="Times New Roman"/>
          <w:noProof/>
          <w:sz w:val="24"/>
          <w:szCs w:val="24"/>
        </w:rPr>
        <w:t xml:space="preserve">nfluence of Phosphate Solubilizing Non-Toxigenic </w:t>
      </w:r>
      <w:r w:rsidRPr="009E4B2E">
        <w:rPr>
          <w:rFonts w:ascii="Times New Roman" w:hAnsi="Times New Roman" w:cs="Times New Roman"/>
          <w:i/>
          <w:noProof/>
          <w:sz w:val="24"/>
          <w:szCs w:val="24"/>
        </w:rPr>
        <w:t>Aspergillus flavus</w:t>
      </w:r>
      <w:r>
        <w:rPr>
          <w:rFonts w:ascii="Times New Roman" w:hAnsi="Times New Roman" w:cs="Times New Roman"/>
          <w:noProof/>
          <w:sz w:val="24"/>
          <w:szCs w:val="24"/>
        </w:rPr>
        <w:t xml:space="preserve"> Strains on Maize (</w:t>
      </w:r>
      <w:r w:rsidRPr="009E4B2E">
        <w:rPr>
          <w:rFonts w:ascii="Times New Roman" w:hAnsi="Times New Roman" w:cs="Times New Roman"/>
          <w:i/>
          <w:noProof/>
          <w:sz w:val="24"/>
          <w:szCs w:val="24"/>
        </w:rPr>
        <w:t>Zea mays l.</w:t>
      </w:r>
      <w:r>
        <w:rPr>
          <w:rFonts w:ascii="Times New Roman" w:hAnsi="Times New Roman" w:cs="Times New Roman"/>
          <w:noProof/>
          <w:sz w:val="24"/>
          <w:szCs w:val="24"/>
        </w:rPr>
        <w:t>) Growth Parameters and Mineral Nutrients C</w:t>
      </w:r>
      <w:r w:rsidRPr="00BA7DA8">
        <w:rPr>
          <w:rFonts w:ascii="Times New Roman" w:hAnsi="Times New Roman" w:cs="Times New Roman"/>
          <w:noProof/>
          <w:sz w:val="24"/>
          <w:szCs w:val="24"/>
        </w:rPr>
        <w:t xml:space="preserve">ontent. </w:t>
      </w:r>
      <w:r w:rsidRPr="00BA7DA8">
        <w:rPr>
          <w:rFonts w:ascii="Times New Roman" w:hAnsi="Times New Roman" w:cs="Times New Roman"/>
          <w:i/>
          <w:iCs/>
          <w:noProof/>
          <w:sz w:val="24"/>
          <w:szCs w:val="24"/>
        </w:rPr>
        <w:t>AIMS Agriculture and Food</w:t>
      </w:r>
      <w:r>
        <w:rPr>
          <w:rFonts w:ascii="Times New Roman" w:hAnsi="Times New Roman" w:cs="Times New Roman"/>
          <w:noProof/>
          <w:sz w:val="24"/>
          <w:szCs w:val="24"/>
        </w:rPr>
        <w:t xml:space="preserve"> </w:t>
      </w:r>
      <w:r w:rsidRPr="009E4B2E">
        <w:rPr>
          <w:rFonts w:ascii="Times New Roman" w:hAnsi="Times New Roman" w:cs="Times New Roman"/>
          <w:iCs/>
          <w:noProof/>
          <w:sz w:val="24"/>
          <w:szCs w:val="24"/>
        </w:rPr>
        <w:t>5</w:t>
      </w:r>
      <w:r w:rsidRPr="009E4B2E">
        <w:rPr>
          <w:rFonts w:ascii="Times New Roman" w:hAnsi="Times New Roman" w:cs="Times New Roman"/>
          <w:noProof/>
          <w:sz w:val="24"/>
          <w:szCs w:val="24"/>
        </w:rPr>
        <w:t>(3)</w:t>
      </w:r>
      <w:r>
        <w:rPr>
          <w:rFonts w:ascii="Times New Roman" w:hAnsi="Times New Roman" w:cs="Times New Roman"/>
          <w:noProof/>
          <w:sz w:val="24"/>
          <w:szCs w:val="24"/>
        </w:rPr>
        <w:t xml:space="preserve">: </w:t>
      </w:r>
      <w:r w:rsidRPr="00BA7DA8">
        <w:rPr>
          <w:rFonts w:ascii="Times New Roman" w:hAnsi="Times New Roman" w:cs="Times New Roman"/>
          <w:noProof/>
          <w:sz w:val="24"/>
          <w:szCs w:val="24"/>
        </w:rPr>
        <w:t xml:space="preserve">408–421. </w:t>
      </w:r>
    </w:p>
    <w:p w:rsidR="00A8724A" w:rsidRPr="00BA7DA8" w:rsidRDefault="00A8724A" w:rsidP="00A872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A7DA8">
        <w:rPr>
          <w:rFonts w:ascii="Times New Roman" w:hAnsi="Times New Roman" w:cs="Times New Roman"/>
          <w:noProof/>
          <w:sz w:val="24"/>
          <w:szCs w:val="24"/>
        </w:rPr>
        <w:t xml:space="preserve">Pane, M. A., Damanik, M. M. B., &amp; Sitorus, B. (2014). Pemberian Bahan Organik Kompos Jerami Padi dan Abu Sekam Padi dalam Memperbaiki Sifat Kimia Tanah Ultisol serta Pertumbuhan Tanaman Jagung. </w:t>
      </w:r>
      <w:r w:rsidRPr="00BA7DA8">
        <w:rPr>
          <w:rFonts w:ascii="Times New Roman" w:hAnsi="Times New Roman" w:cs="Times New Roman"/>
          <w:i/>
          <w:iCs/>
          <w:noProof/>
          <w:sz w:val="24"/>
          <w:szCs w:val="24"/>
        </w:rPr>
        <w:t>Jurnal Online Agroekoteknologi</w:t>
      </w:r>
      <w:r>
        <w:rPr>
          <w:rFonts w:ascii="Times New Roman" w:hAnsi="Times New Roman" w:cs="Times New Roman"/>
          <w:noProof/>
          <w:sz w:val="24"/>
          <w:szCs w:val="24"/>
        </w:rPr>
        <w:t xml:space="preserve"> </w:t>
      </w:r>
      <w:r w:rsidRPr="009E4B2E">
        <w:rPr>
          <w:rFonts w:ascii="Times New Roman" w:hAnsi="Times New Roman" w:cs="Times New Roman"/>
          <w:iCs/>
          <w:noProof/>
          <w:sz w:val="24"/>
          <w:szCs w:val="24"/>
        </w:rPr>
        <w:t>2</w:t>
      </w:r>
      <w:r w:rsidRPr="009E4B2E">
        <w:rPr>
          <w:rFonts w:ascii="Times New Roman" w:hAnsi="Times New Roman" w:cs="Times New Roman"/>
          <w:noProof/>
          <w:sz w:val="24"/>
          <w:szCs w:val="24"/>
        </w:rPr>
        <w:t>(4):</w:t>
      </w:r>
      <w:r>
        <w:rPr>
          <w:rFonts w:ascii="Times New Roman" w:hAnsi="Times New Roman" w:cs="Times New Roman"/>
          <w:noProof/>
          <w:sz w:val="24"/>
          <w:szCs w:val="24"/>
        </w:rPr>
        <w:t xml:space="preserve"> </w:t>
      </w:r>
      <w:r w:rsidRPr="00BA7DA8">
        <w:rPr>
          <w:rFonts w:ascii="Times New Roman" w:hAnsi="Times New Roman" w:cs="Times New Roman"/>
          <w:noProof/>
          <w:sz w:val="24"/>
          <w:szCs w:val="24"/>
        </w:rPr>
        <w:t>1426–1432.</w:t>
      </w:r>
    </w:p>
    <w:p w:rsidR="00A8724A" w:rsidRDefault="00A8724A" w:rsidP="00A872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A7DA8">
        <w:rPr>
          <w:rFonts w:ascii="Times New Roman" w:hAnsi="Times New Roman" w:cs="Times New Roman"/>
          <w:noProof/>
          <w:sz w:val="24"/>
          <w:szCs w:val="24"/>
        </w:rPr>
        <w:t xml:space="preserve">Poblete-Grant, P., Suazo-Hernández, J., Condron, L., Rumpel, C., Demanet, R., Malone, S. L., &amp; </w:t>
      </w:r>
      <w:r>
        <w:rPr>
          <w:rFonts w:ascii="Times New Roman" w:hAnsi="Times New Roman" w:cs="Times New Roman"/>
          <w:noProof/>
          <w:sz w:val="24"/>
          <w:szCs w:val="24"/>
        </w:rPr>
        <w:t>Mora, M. de L. L. (2020). Soil Available P, Soil Organic Carbon and Aggregation as Affected by Long-term Poultry Manure Application to Andisols under P</w:t>
      </w:r>
      <w:r w:rsidRPr="00BA7DA8">
        <w:rPr>
          <w:rFonts w:ascii="Times New Roman" w:hAnsi="Times New Roman" w:cs="Times New Roman"/>
          <w:noProof/>
          <w:sz w:val="24"/>
          <w:szCs w:val="24"/>
        </w:rPr>
        <w:t xml:space="preserve">astures in Southern Chile. </w:t>
      </w:r>
      <w:r w:rsidRPr="00BA7DA8">
        <w:rPr>
          <w:rFonts w:ascii="Times New Roman" w:hAnsi="Times New Roman" w:cs="Times New Roman"/>
          <w:i/>
          <w:iCs/>
          <w:noProof/>
          <w:sz w:val="24"/>
          <w:szCs w:val="24"/>
        </w:rPr>
        <w:t>Geoderma Regional</w:t>
      </w:r>
      <w:r>
        <w:rPr>
          <w:rFonts w:ascii="Times New Roman" w:hAnsi="Times New Roman" w:cs="Times New Roman"/>
          <w:noProof/>
          <w:sz w:val="24"/>
          <w:szCs w:val="24"/>
        </w:rPr>
        <w:t xml:space="preserve"> </w:t>
      </w:r>
      <w:r w:rsidRPr="00BA7DA8">
        <w:rPr>
          <w:rFonts w:ascii="Times New Roman" w:hAnsi="Times New Roman" w:cs="Times New Roman"/>
          <w:i/>
          <w:iCs/>
          <w:noProof/>
          <w:sz w:val="24"/>
          <w:szCs w:val="24"/>
        </w:rPr>
        <w:t>21</w:t>
      </w:r>
      <w:r>
        <w:rPr>
          <w:rFonts w:ascii="Times New Roman" w:hAnsi="Times New Roman" w:cs="Times New Roman"/>
          <w:noProof/>
          <w:sz w:val="24"/>
          <w:szCs w:val="24"/>
        </w:rPr>
        <w:t>:</w:t>
      </w:r>
      <w:r w:rsidRPr="00BA7DA8">
        <w:rPr>
          <w:rFonts w:ascii="Times New Roman" w:hAnsi="Times New Roman" w:cs="Times New Roman"/>
          <w:noProof/>
          <w:sz w:val="24"/>
          <w:szCs w:val="24"/>
        </w:rPr>
        <w:t xml:space="preserve"> 1–10. </w:t>
      </w:r>
    </w:p>
    <w:p w:rsidR="00A8724A" w:rsidRPr="00A8724A" w:rsidRDefault="00A8724A" w:rsidP="00A8724A">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A8724A">
        <w:rPr>
          <w:rFonts w:ascii="Times New Roman" w:hAnsi="Times New Roman" w:cs="Times New Roman"/>
          <w:noProof/>
          <w:sz w:val="24"/>
          <w:szCs w:val="24"/>
        </w:rPr>
        <w:t xml:space="preserve">Putir, P. E., Penyang, &amp; Fetriasie. (2021). Jamur Makro Basidiomycetes di Hutan Rawa Ganbut Taman Nasional Sebangau Kabupaten Katingan Kalimantan Tegah. </w:t>
      </w:r>
      <w:r w:rsidRPr="00A8724A">
        <w:rPr>
          <w:rFonts w:ascii="Times New Roman" w:hAnsi="Times New Roman" w:cs="Times New Roman"/>
          <w:i/>
          <w:iCs/>
          <w:noProof/>
          <w:sz w:val="24"/>
          <w:szCs w:val="24"/>
        </w:rPr>
        <w:t>Jurnal Hutan Tropika</w:t>
      </w:r>
      <w:r w:rsidR="007269DC">
        <w:rPr>
          <w:rFonts w:ascii="Times New Roman" w:hAnsi="Times New Roman" w:cs="Times New Roman"/>
          <w:noProof/>
          <w:sz w:val="24"/>
          <w:szCs w:val="24"/>
        </w:rPr>
        <w:t xml:space="preserve"> </w:t>
      </w:r>
      <w:r w:rsidRPr="00A8724A">
        <w:rPr>
          <w:rFonts w:ascii="Times New Roman" w:hAnsi="Times New Roman" w:cs="Times New Roman"/>
          <w:i/>
          <w:iCs/>
          <w:noProof/>
          <w:sz w:val="24"/>
          <w:szCs w:val="24"/>
        </w:rPr>
        <w:t>16</w:t>
      </w:r>
      <w:r w:rsidR="007269DC">
        <w:rPr>
          <w:rFonts w:ascii="Times New Roman" w:hAnsi="Times New Roman" w:cs="Times New Roman"/>
          <w:noProof/>
          <w:sz w:val="24"/>
          <w:szCs w:val="24"/>
        </w:rPr>
        <w:t xml:space="preserve">(2): </w:t>
      </w:r>
      <w:r w:rsidRPr="00A8724A">
        <w:rPr>
          <w:rFonts w:ascii="Times New Roman" w:hAnsi="Times New Roman" w:cs="Times New Roman"/>
          <w:noProof/>
          <w:sz w:val="24"/>
          <w:szCs w:val="24"/>
        </w:rPr>
        <w:t xml:space="preserve">175–185. </w:t>
      </w:r>
    </w:p>
    <w:p w:rsidR="00A8724A" w:rsidRDefault="00A8724A" w:rsidP="008D395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8724A">
        <w:rPr>
          <w:rFonts w:ascii="Times New Roman" w:hAnsi="Times New Roman" w:cs="Times New Roman"/>
          <w:noProof/>
          <w:sz w:val="24"/>
          <w:szCs w:val="24"/>
        </w:rPr>
        <w:t xml:space="preserve">Putra, I., Sudiarta, 1, &amp; Suniti, N. (2021). Identifikasi Morfologi Jamur Kontaminan pada Naskah Lontar. </w:t>
      </w:r>
      <w:r w:rsidRPr="00A8724A">
        <w:rPr>
          <w:rFonts w:ascii="Times New Roman" w:hAnsi="Times New Roman" w:cs="Times New Roman"/>
          <w:i/>
          <w:iCs/>
          <w:noProof/>
          <w:sz w:val="24"/>
          <w:szCs w:val="24"/>
        </w:rPr>
        <w:t>Jurnal Agroekoteknologi Tropika Lembab</w:t>
      </w:r>
      <w:r w:rsidR="007269DC">
        <w:rPr>
          <w:rFonts w:ascii="Times New Roman" w:hAnsi="Times New Roman" w:cs="Times New Roman"/>
          <w:noProof/>
          <w:sz w:val="24"/>
          <w:szCs w:val="24"/>
        </w:rPr>
        <w:t xml:space="preserve"> </w:t>
      </w:r>
      <w:r w:rsidRPr="00A8724A">
        <w:rPr>
          <w:rFonts w:ascii="Times New Roman" w:hAnsi="Times New Roman" w:cs="Times New Roman"/>
          <w:i/>
          <w:iCs/>
          <w:noProof/>
          <w:sz w:val="24"/>
          <w:szCs w:val="24"/>
        </w:rPr>
        <w:t>10</w:t>
      </w:r>
      <w:r w:rsidR="007269DC">
        <w:rPr>
          <w:rFonts w:ascii="Times New Roman" w:hAnsi="Times New Roman" w:cs="Times New Roman"/>
          <w:noProof/>
          <w:sz w:val="24"/>
          <w:szCs w:val="24"/>
        </w:rPr>
        <w:t>(4):</w:t>
      </w:r>
      <w:r>
        <w:rPr>
          <w:rFonts w:ascii="Times New Roman" w:hAnsi="Times New Roman" w:cs="Times New Roman"/>
          <w:noProof/>
          <w:sz w:val="24"/>
          <w:szCs w:val="24"/>
        </w:rPr>
        <w:t xml:space="preserve"> 448–455.</w:t>
      </w:r>
    </w:p>
    <w:p w:rsidR="00A8724A" w:rsidRPr="00BA7DA8" w:rsidRDefault="00A8724A" w:rsidP="008D395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A7DA8">
        <w:rPr>
          <w:rFonts w:ascii="Times New Roman" w:hAnsi="Times New Roman" w:cs="Times New Roman"/>
          <w:noProof/>
          <w:sz w:val="24"/>
          <w:szCs w:val="24"/>
        </w:rPr>
        <w:t xml:space="preserve">Raimi, A., Roopnarain, A., &amp; Adeleke, R. (2021). Biofertilizer Production in Africa: Current Status, Factors Impeding Adoption and Strategies for Success. </w:t>
      </w:r>
      <w:r w:rsidRPr="00BA7DA8">
        <w:rPr>
          <w:rFonts w:ascii="Times New Roman" w:hAnsi="Times New Roman" w:cs="Times New Roman"/>
          <w:i/>
          <w:iCs/>
          <w:noProof/>
          <w:sz w:val="24"/>
          <w:szCs w:val="24"/>
        </w:rPr>
        <w:t>Scientific African</w:t>
      </w:r>
      <w:r w:rsidRPr="00BA7DA8">
        <w:rPr>
          <w:rFonts w:ascii="Times New Roman" w:hAnsi="Times New Roman" w:cs="Times New Roman"/>
          <w:noProof/>
          <w:sz w:val="24"/>
          <w:szCs w:val="24"/>
        </w:rPr>
        <w:t xml:space="preserve">, </w:t>
      </w:r>
      <w:r w:rsidRPr="00BA7DA8">
        <w:rPr>
          <w:rFonts w:ascii="Times New Roman" w:hAnsi="Times New Roman" w:cs="Times New Roman"/>
          <w:i/>
          <w:iCs/>
          <w:noProof/>
          <w:sz w:val="24"/>
          <w:szCs w:val="24"/>
        </w:rPr>
        <w:t>11</w:t>
      </w:r>
      <w:r>
        <w:rPr>
          <w:rFonts w:ascii="Times New Roman" w:hAnsi="Times New Roman" w:cs="Times New Roman"/>
          <w:noProof/>
          <w:sz w:val="24"/>
          <w:szCs w:val="24"/>
        </w:rPr>
        <w:t>:</w:t>
      </w:r>
      <w:r w:rsidRPr="00BA7DA8">
        <w:rPr>
          <w:rFonts w:ascii="Times New Roman" w:hAnsi="Times New Roman" w:cs="Times New Roman"/>
          <w:noProof/>
          <w:sz w:val="24"/>
          <w:szCs w:val="24"/>
        </w:rPr>
        <w:t xml:space="preserve"> e00694. </w:t>
      </w:r>
    </w:p>
    <w:p w:rsidR="00A8724A" w:rsidRPr="00BA7DA8" w:rsidRDefault="00A8724A" w:rsidP="00A872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A7DA8">
        <w:rPr>
          <w:rFonts w:ascii="Times New Roman" w:hAnsi="Times New Roman" w:cs="Times New Roman"/>
          <w:noProof/>
          <w:sz w:val="24"/>
          <w:szCs w:val="24"/>
        </w:rPr>
        <w:t>Ristiari, N. P. N., Julyasih, K. S. M., &amp; Suryanti</w:t>
      </w:r>
      <w:r>
        <w:rPr>
          <w:rFonts w:ascii="Times New Roman" w:hAnsi="Times New Roman" w:cs="Times New Roman"/>
          <w:noProof/>
          <w:sz w:val="24"/>
          <w:szCs w:val="24"/>
        </w:rPr>
        <w:t>, I. A. P. (2018). Isolasi dan Identifikasi Jamur Mikroskopis pada Rizosfer Tanaman Jeruk S</w:t>
      </w:r>
      <w:r w:rsidRPr="00BA7DA8">
        <w:rPr>
          <w:rFonts w:ascii="Times New Roman" w:hAnsi="Times New Roman" w:cs="Times New Roman"/>
          <w:noProof/>
          <w:sz w:val="24"/>
          <w:szCs w:val="24"/>
        </w:rPr>
        <w:t>iam (</w:t>
      </w:r>
      <w:r w:rsidRPr="009E4B2E">
        <w:rPr>
          <w:rFonts w:ascii="Times New Roman" w:hAnsi="Times New Roman" w:cs="Times New Roman"/>
          <w:i/>
          <w:noProof/>
          <w:sz w:val="24"/>
          <w:szCs w:val="24"/>
        </w:rPr>
        <w:t>Citrus nobilis Lour.</w:t>
      </w:r>
      <w:r w:rsidRPr="00BA7DA8">
        <w:rPr>
          <w:rFonts w:ascii="Times New Roman" w:hAnsi="Times New Roman" w:cs="Times New Roman"/>
          <w:noProof/>
          <w:sz w:val="24"/>
          <w:szCs w:val="24"/>
        </w:rPr>
        <w:t xml:space="preserve">) di Kecamatan Kintamani, Bali. </w:t>
      </w:r>
      <w:r w:rsidRPr="00BA7DA8">
        <w:rPr>
          <w:rFonts w:ascii="Times New Roman" w:hAnsi="Times New Roman" w:cs="Times New Roman"/>
          <w:i/>
          <w:iCs/>
          <w:noProof/>
          <w:sz w:val="24"/>
          <w:szCs w:val="24"/>
        </w:rPr>
        <w:t>Jurnal Pendidikan Biologi Undiksha</w:t>
      </w:r>
      <w:r>
        <w:rPr>
          <w:rFonts w:ascii="Times New Roman" w:hAnsi="Times New Roman" w:cs="Times New Roman"/>
          <w:noProof/>
          <w:sz w:val="24"/>
          <w:szCs w:val="24"/>
        </w:rPr>
        <w:t xml:space="preserve"> </w:t>
      </w:r>
      <w:r w:rsidRPr="009E4B2E">
        <w:rPr>
          <w:rFonts w:ascii="Times New Roman" w:hAnsi="Times New Roman" w:cs="Times New Roman"/>
          <w:iCs/>
          <w:noProof/>
          <w:sz w:val="24"/>
          <w:szCs w:val="24"/>
        </w:rPr>
        <w:t>6</w:t>
      </w:r>
      <w:r>
        <w:rPr>
          <w:rFonts w:ascii="Times New Roman" w:hAnsi="Times New Roman" w:cs="Times New Roman"/>
          <w:noProof/>
          <w:sz w:val="24"/>
          <w:szCs w:val="24"/>
        </w:rPr>
        <w:t xml:space="preserve">(1): </w:t>
      </w:r>
      <w:r w:rsidRPr="00BA7DA8">
        <w:rPr>
          <w:rFonts w:ascii="Times New Roman" w:hAnsi="Times New Roman" w:cs="Times New Roman"/>
          <w:noProof/>
          <w:sz w:val="24"/>
          <w:szCs w:val="24"/>
        </w:rPr>
        <w:t>10–19.</w:t>
      </w:r>
    </w:p>
    <w:p w:rsidR="00A8724A" w:rsidRPr="00BA7DA8" w:rsidRDefault="00A8724A" w:rsidP="00A872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A7DA8">
        <w:rPr>
          <w:rFonts w:ascii="Times New Roman" w:hAnsi="Times New Roman" w:cs="Times New Roman"/>
          <w:noProof/>
          <w:sz w:val="24"/>
          <w:szCs w:val="24"/>
        </w:rPr>
        <w:t xml:space="preserve">Rukmana, A., Susilawati, H., &amp; Galang. (2019). Pencatatan pH Tanah Otomatis. </w:t>
      </w:r>
      <w:r>
        <w:rPr>
          <w:rFonts w:ascii="Times New Roman" w:hAnsi="Times New Roman" w:cs="Times New Roman"/>
          <w:i/>
          <w:iCs/>
          <w:noProof/>
          <w:sz w:val="24"/>
          <w:szCs w:val="24"/>
        </w:rPr>
        <w:t>Jurnal Penelitian d</w:t>
      </w:r>
      <w:r w:rsidRPr="00BA7DA8">
        <w:rPr>
          <w:rFonts w:ascii="Times New Roman" w:hAnsi="Times New Roman" w:cs="Times New Roman"/>
          <w:i/>
          <w:iCs/>
          <w:noProof/>
          <w:sz w:val="24"/>
          <w:szCs w:val="24"/>
        </w:rPr>
        <w:t>an Pengembangan Teknik Elektro Telekomunikasi Indonesia</w:t>
      </w:r>
      <w:r>
        <w:rPr>
          <w:rFonts w:ascii="Times New Roman" w:hAnsi="Times New Roman" w:cs="Times New Roman"/>
          <w:noProof/>
          <w:sz w:val="24"/>
          <w:szCs w:val="24"/>
        </w:rPr>
        <w:t xml:space="preserve"> </w:t>
      </w:r>
      <w:r w:rsidRPr="009E4B2E">
        <w:rPr>
          <w:rFonts w:ascii="Times New Roman" w:hAnsi="Times New Roman" w:cs="Times New Roman"/>
          <w:iCs/>
          <w:noProof/>
          <w:sz w:val="24"/>
          <w:szCs w:val="24"/>
        </w:rPr>
        <w:t>10</w:t>
      </w:r>
      <w:r w:rsidRPr="009E4B2E">
        <w:rPr>
          <w:rFonts w:ascii="Times New Roman" w:hAnsi="Times New Roman" w:cs="Times New Roman"/>
          <w:noProof/>
          <w:sz w:val="24"/>
          <w:szCs w:val="24"/>
        </w:rPr>
        <w:t xml:space="preserve">(1): </w:t>
      </w:r>
      <w:r w:rsidRPr="00BA7DA8">
        <w:rPr>
          <w:rFonts w:ascii="Times New Roman" w:hAnsi="Times New Roman" w:cs="Times New Roman"/>
          <w:noProof/>
          <w:sz w:val="24"/>
          <w:szCs w:val="24"/>
        </w:rPr>
        <w:t>25–32.</w:t>
      </w:r>
    </w:p>
    <w:p w:rsidR="00A8724A" w:rsidRDefault="00A8724A" w:rsidP="00A872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A7DA8">
        <w:rPr>
          <w:rFonts w:ascii="Times New Roman" w:hAnsi="Times New Roman" w:cs="Times New Roman"/>
          <w:noProof/>
          <w:sz w:val="24"/>
          <w:szCs w:val="24"/>
        </w:rPr>
        <w:t>Sattar, A., Naveed, M., Ali, M., Zahir, Z. A., Nadeem, S. M., Yaseen, M., Meena, V. S., Farooq, M., Singh, R., Rahman, M., &amp; Meena,</w:t>
      </w:r>
      <w:r>
        <w:rPr>
          <w:rFonts w:ascii="Times New Roman" w:hAnsi="Times New Roman" w:cs="Times New Roman"/>
          <w:noProof/>
          <w:sz w:val="24"/>
          <w:szCs w:val="24"/>
        </w:rPr>
        <w:t xml:space="preserve"> H. N. (2019). Perspectives of Potassium Solubilizing Microbes in Sustainable Food Production S</w:t>
      </w:r>
      <w:r w:rsidRPr="00BA7DA8">
        <w:rPr>
          <w:rFonts w:ascii="Times New Roman" w:hAnsi="Times New Roman" w:cs="Times New Roman"/>
          <w:noProof/>
          <w:sz w:val="24"/>
          <w:szCs w:val="24"/>
        </w:rPr>
        <w:t xml:space="preserve">ystem: A review. </w:t>
      </w:r>
      <w:r w:rsidRPr="00BA7DA8">
        <w:rPr>
          <w:rFonts w:ascii="Times New Roman" w:hAnsi="Times New Roman" w:cs="Times New Roman"/>
          <w:i/>
          <w:iCs/>
          <w:noProof/>
          <w:sz w:val="24"/>
          <w:szCs w:val="24"/>
        </w:rPr>
        <w:t xml:space="preserve">Applied Soil </w:t>
      </w:r>
      <w:r>
        <w:rPr>
          <w:rFonts w:ascii="Times New Roman" w:hAnsi="Times New Roman" w:cs="Times New Roman"/>
          <w:i/>
          <w:iCs/>
          <w:noProof/>
          <w:sz w:val="24"/>
          <w:szCs w:val="24"/>
        </w:rPr>
        <w:t xml:space="preserve">Ecology </w:t>
      </w:r>
      <w:r w:rsidRPr="00BA7DA8">
        <w:rPr>
          <w:rFonts w:ascii="Times New Roman" w:hAnsi="Times New Roman" w:cs="Times New Roman"/>
          <w:i/>
          <w:iCs/>
          <w:noProof/>
          <w:sz w:val="24"/>
          <w:szCs w:val="24"/>
        </w:rPr>
        <w:t>133</w:t>
      </w:r>
      <w:r>
        <w:rPr>
          <w:rFonts w:ascii="Times New Roman" w:hAnsi="Times New Roman" w:cs="Times New Roman"/>
          <w:noProof/>
          <w:sz w:val="24"/>
          <w:szCs w:val="24"/>
        </w:rPr>
        <w:t>(September):</w:t>
      </w:r>
      <w:r w:rsidRPr="00BA7DA8">
        <w:rPr>
          <w:rFonts w:ascii="Times New Roman" w:hAnsi="Times New Roman" w:cs="Times New Roman"/>
          <w:noProof/>
          <w:sz w:val="24"/>
          <w:szCs w:val="24"/>
        </w:rPr>
        <w:t xml:space="preserve"> 146–159. </w:t>
      </w:r>
    </w:p>
    <w:p w:rsidR="00A8724A" w:rsidRPr="004B2825" w:rsidRDefault="00A8724A" w:rsidP="008D395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B2825">
        <w:rPr>
          <w:rFonts w:ascii="Times New Roman" w:hAnsi="Times New Roman" w:cs="Times New Roman"/>
          <w:sz w:val="24"/>
          <w:szCs w:val="24"/>
        </w:rPr>
        <w:fldChar w:fldCharType="begin" w:fldLock="1"/>
      </w:r>
      <w:r w:rsidRPr="004B2825">
        <w:rPr>
          <w:rFonts w:ascii="Times New Roman" w:hAnsi="Times New Roman" w:cs="Times New Roman"/>
          <w:sz w:val="24"/>
          <w:szCs w:val="24"/>
        </w:rPr>
        <w:instrText xml:space="preserve">ADDIN Mendeley Bibliography CSL_BIBLIOGRAPHY </w:instrText>
      </w:r>
      <w:r w:rsidRPr="004B2825">
        <w:rPr>
          <w:rFonts w:ascii="Times New Roman" w:hAnsi="Times New Roman" w:cs="Times New Roman"/>
          <w:sz w:val="24"/>
          <w:szCs w:val="24"/>
        </w:rPr>
        <w:fldChar w:fldCharType="separate"/>
      </w:r>
    </w:p>
    <w:p w:rsidR="00A8724A" w:rsidRPr="004B2825" w:rsidRDefault="00A8724A" w:rsidP="008D395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B2825">
        <w:rPr>
          <w:rFonts w:ascii="Times New Roman" w:hAnsi="Times New Roman" w:cs="Times New Roman"/>
          <w:noProof/>
          <w:sz w:val="24"/>
          <w:szCs w:val="24"/>
        </w:rPr>
        <w:lastRenderedPageBreak/>
        <w:t xml:space="preserve">Sulistiyono, F. D. (2017). </w:t>
      </w:r>
      <w:r w:rsidR="007269DC" w:rsidRPr="004B2825">
        <w:rPr>
          <w:rFonts w:ascii="Times New Roman" w:hAnsi="Times New Roman" w:cs="Times New Roman"/>
          <w:noProof/>
          <w:sz w:val="24"/>
          <w:szCs w:val="24"/>
        </w:rPr>
        <w:t>Karakteristik Fisiologi Empat Antagonis Isolat</w:t>
      </w:r>
      <w:r w:rsidRPr="004B2825">
        <w:rPr>
          <w:rFonts w:ascii="Times New Roman" w:hAnsi="Times New Roman" w:cs="Times New Roman"/>
          <w:noProof/>
          <w:sz w:val="24"/>
          <w:szCs w:val="24"/>
        </w:rPr>
        <w:t xml:space="preserve"> </w:t>
      </w:r>
      <w:r w:rsidRPr="004B2825">
        <w:rPr>
          <w:rFonts w:ascii="Times New Roman" w:hAnsi="Times New Roman" w:cs="Times New Roman"/>
          <w:i/>
          <w:noProof/>
          <w:sz w:val="24"/>
          <w:szCs w:val="24"/>
        </w:rPr>
        <w:t>Trichoderma sp.</w:t>
      </w:r>
      <w:r w:rsidRPr="004B2825">
        <w:rPr>
          <w:rFonts w:ascii="Times New Roman" w:hAnsi="Times New Roman" w:cs="Times New Roman"/>
          <w:noProof/>
          <w:sz w:val="24"/>
          <w:szCs w:val="24"/>
        </w:rPr>
        <w:t xml:space="preserve"> </w:t>
      </w:r>
      <w:r w:rsidR="007269DC" w:rsidRPr="004B2825">
        <w:rPr>
          <w:rFonts w:ascii="Times New Roman" w:hAnsi="Times New Roman" w:cs="Times New Roman"/>
          <w:noProof/>
          <w:sz w:val="24"/>
          <w:szCs w:val="24"/>
        </w:rPr>
        <w:t>sebagai Agensia Hayati</w:t>
      </w:r>
      <w:r w:rsidRPr="004B2825">
        <w:rPr>
          <w:rFonts w:ascii="Times New Roman" w:hAnsi="Times New Roman" w:cs="Times New Roman"/>
          <w:noProof/>
          <w:sz w:val="24"/>
          <w:szCs w:val="24"/>
        </w:rPr>
        <w:t xml:space="preserve">. </w:t>
      </w:r>
      <w:r w:rsidRPr="004B2825">
        <w:rPr>
          <w:rFonts w:ascii="Times New Roman" w:hAnsi="Times New Roman" w:cs="Times New Roman"/>
          <w:iCs/>
          <w:noProof/>
          <w:sz w:val="24"/>
          <w:szCs w:val="24"/>
        </w:rPr>
        <w:t>Jurnal Sains Natural</w:t>
      </w:r>
      <w:r w:rsidR="007269DC" w:rsidRPr="004B2825">
        <w:rPr>
          <w:rFonts w:ascii="Times New Roman" w:hAnsi="Times New Roman" w:cs="Times New Roman"/>
          <w:noProof/>
          <w:sz w:val="24"/>
          <w:szCs w:val="24"/>
        </w:rPr>
        <w:t xml:space="preserve"> </w:t>
      </w:r>
      <w:r w:rsidRPr="004B2825">
        <w:rPr>
          <w:rFonts w:ascii="Times New Roman" w:hAnsi="Times New Roman" w:cs="Times New Roman"/>
          <w:iCs/>
          <w:noProof/>
          <w:sz w:val="24"/>
          <w:szCs w:val="24"/>
        </w:rPr>
        <w:t>5</w:t>
      </w:r>
      <w:r w:rsidR="007269DC" w:rsidRPr="004B2825">
        <w:rPr>
          <w:rFonts w:ascii="Times New Roman" w:hAnsi="Times New Roman" w:cs="Times New Roman"/>
          <w:noProof/>
          <w:sz w:val="24"/>
          <w:szCs w:val="24"/>
        </w:rPr>
        <w:t>(1): 24-29.</w:t>
      </w:r>
    </w:p>
    <w:p w:rsidR="00A8724A" w:rsidRPr="00BA7DA8" w:rsidRDefault="00A8724A" w:rsidP="008D395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B2825">
        <w:rPr>
          <w:rFonts w:ascii="Times New Roman" w:hAnsi="Times New Roman" w:cs="Times New Roman"/>
          <w:sz w:val="24"/>
          <w:szCs w:val="24"/>
        </w:rPr>
        <w:fldChar w:fldCharType="end"/>
      </w:r>
      <w:r w:rsidRPr="00BA7DA8">
        <w:rPr>
          <w:rFonts w:ascii="Times New Roman" w:hAnsi="Times New Roman" w:cs="Times New Roman"/>
          <w:noProof/>
          <w:sz w:val="24"/>
          <w:szCs w:val="24"/>
        </w:rPr>
        <w:t xml:space="preserve">Vistoso, E., Iraira, S., &amp; Sandaña, P. (2021). Phosphorus Use Efficiency in Permanent Pastures in Andisols. </w:t>
      </w:r>
      <w:r w:rsidRPr="00BA7DA8">
        <w:rPr>
          <w:rFonts w:ascii="Times New Roman" w:hAnsi="Times New Roman" w:cs="Times New Roman"/>
          <w:i/>
          <w:iCs/>
          <w:noProof/>
          <w:sz w:val="24"/>
          <w:szCs w:val="24"/>
        </w:rPr>
        <w:t>Journal of Soil Science and Plant Nutrition</w:t>
      </w:r>
      <w:r>
        <w:rPr>
          <w:rFonts w:ascii="Times New Roman" w:hAnsi="Times New Roman" w:cs="Times New Roman"/>
          <w:noProof/>
          <w:sz w:val="24"/>
          <w:szCs w:val="24"/>
        </w:rPr>
        <w:t xml:space="preserve"> </w:t>
      </w:r>
      <w:r w:rsidRPr="009E4B2E">
        <w:rPr>
          <w:rFonts w:ascii="Times New Roman" w:hAnsi="Times New Roman" w:cs="Times New Roman"/>
          <w:iCs/>
          <w:noProof/>
          <w:sz w:val="24"/>
          <w:szCs w:val="24"/>
        </w:rPr>
        <w:t>21</w:t>
      </w:r>
      <w:r>
        <w:rPr>
          <w:rFonts w:ascii="Times New Roman" w:hAnsi="Times New Roman" w:cs="Times New Roman"/>
          <w:noProof/>
          <w:sz w:val="24"/>
          <w:szCs w:val="24"/>
        </w:rPr>
        <w:t xml:space="preserve">(4): </w:t>
      </w:r>
      <w:r w:rsidRPr="00BA7DA8">
        <w:rPr>
          <w:rFonts w:ascii="Times New Roman" w:hAnsi="Times New Roman" w:cs="Times New Roman"/>
          <w:noProof/>
          <w:sz w:val="24"/>
          <w:szCs w:val="24"/>
        </w:rPr>
        <w:t xml:space="preserve">2587–2599. </w:t>
      </w:r>
    </w:p>
    <w:p w:rsidR="00A8724A" w:rsidRPr="00BA7DA8" w:rsidRDefault="00A8724A" w:rsidP="00A872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BA7DA8">
        <w:rPr>
          <w:rFonts w:ascii="Times New Roman" w:hAnsi="Times New Roman" w:cs="Times New Roman"/>
          <w:noProof/>
          <w:sz w:val="24"/>
          <w:szCs w:val="24"/>
        </w:rPr>
        <w:t xml:space="preserve">Wan, W., Hao, X., Xing, Y., Liu, S., Zhang, X., Li, X., Chen, W., &amp; Huang, Q. (2021). Spatial Differences in Soil Microbial Diversity Caused by pH-driven Organic Phosphorus Mineralizatio. </w:t>
      </w:r>
      <w:r w:rsidRPr="00BA7DA8">
        <w:rPr>
          <w:rFonts w:ascii="Times New Roman" w:hAnsi="Times New Roman" w:cs="Times New Roman"/>
          <w:i/>
          <w:iCs/>
          <w:noProof/>
          <w:sz w:val="24"/>
          <w:szCs w:val="24"/>
        </w:rPr>
        <w:t>Land Degradation and Development</w:t>
      </w:r>
      <w:r>
        <w:rPr>
          <w:rFonts w:ascii="Times New Roman" w:hAnsi="Times New Roman" w:cs="Times New Roman"/>
          <w:noProof/>
          <w:sz w:val="24"/>
          <w:szCs w:val="24"/>
        </w:rPr>
        <w:t xml:space="preserve"> </w:t>
      </w:r>
      <w:r w:rsidRPr="009E4B2E">
        <w:rPr>
          <w:rFonts w:ascii="Times New Roman" w:hAnsi="Times New Roman" w:cs="Times New Roman"/>
          <w:iCs/>
          <w:noProof/>
          <w:sz w:val="24"/>
          <w:szCs w:val="24"/>
        </w:rPr>
        <w:t>32</w:t>
      </w:r>
      <w:r>
        <w:rPr>
          <w:rFonts w:ascii="Times New Roman" w:hAnsi="Times New Roman" w:cs="Times New Roman"/>
          <w:noProof/>
          <w:sz w:val="24"/>
          <w:szCs w:val="24"/>
        </w:rPr>
        <w:t xml:space="preserve">(2): </w:t>
      </w:r>
      <w:r w:rsidRPr="00BA7DA8">
        <w:rPr>
          <w:rFonts w:ascii="Times New Roman" w:hAnsi="Times New Roman" w:cs="Times New Roman"/>
          <w:noProof/>
          <w:sz w:val="24"/>
          <w:szCs w:val="24"/>
        </w:rPr>
        <w:t xml:space="preserve">766–776. </w:t>
      </w:r>
    </w:p>
    <w:p w:rsidR="00A8724A" w:rsidRPr="00BA7DA8" w:rsidRDefault="00A8724A" w:rsidP="00A8724A">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BA7DA8">
        <w:rPr>
          <w:rFonts w:ascii="Times New Roman" w:hAnsi="Times New Roman" w:cs="Times New Roman"/>
          <w:noProof/>
          <w:sz w:val="24"/>
          <w:szCs w:val="24"/>
        </w:rPr>
        <w:t xml:space="preserve">Yuniarti, A., Suriadikusumah, A., &amp; </w:t>
      </w:r>
      <w:r>
        <w:rPr>
          <w:rFonts w:ascii="Times New Roman" w:hAnsi="Times New Roman" w:cs="Times New Roman"/>
          <w:noProof/>
          <w:sz w:val="24"/>
          <w:szCs w:val="24"/>
        </w:rPr>
        <w:t>Gultom, J. U. (2017). Pengaruh Pupuk Anorganik dan Pupuk Organik Cair terhadap pH, N-Total, C-Organik, dan Hasil Pakcoy pada I</w:t>
      </w:r>
      <w:r w:rsidRPr="00BA7DA8">
        <w:rPr>
          <w:rFonts w:ascii="Times New Roman" w:hAnsi="Times New Roman" w:cs="Times New Roman"/>
          <w:noProof/>
          <w:sz w:val="24"/>
          <w:szCs w:val="24"/>
        </w:rPr>
        <w:t xml:space="preserve">nceptisols. </w:t>
      </w:r>
      <w:r w:rsidRPr="00BA7DA8">
        <w:rPr>
          <w:rFonts w:ascii="Times New Roman" w:hAnsi="Times New Roman" w:cs="Times New Roman"/>
          <w:i/>
          <w:iCs/>
          <w:noProof/>
          <w:sz w:val="24"/>
          <w:szCs w:val="24"/>
        </w:rPr>
        <w:t>Prosiding Pertanian Dan Tanama</w:t>
      </w:r>
      <w:r>
        <w:rPr>
          <w:rFonts w:ascii="Times New Roman" w:hAnsi="Times New Roman" w:cs="Times New Roman"/>
          <w:i/>
          <w:iCs/>
          <w:noProof/>
          <w:sz w:val="24"/>
          <w:szCs w:val="24"/>
        </w:rPr>
        <w:t>n Herbal Berkelanjutan d</w:t>
      </w:r>
      <w:r w:rsidRPr="00BA7DA8">
        <w:rPr>
          <w:rFonts w:ascii="Times New Roman" w:hAnsi="Times New Roman" w:cs="Times New Roman"/>
          <w:i/>
          <w:iCs/>
          <w:noProof/>
          <w:sz w:val="24"/>
          <w:szCs w:val="24"/>
        </w:rPr>
        <w:t>i Indonesia</w:t>
      </w:r>
      <w:r w:rsidRPr="00BA7DA8">
        <w:rPr>
          <w:rFonts w:ascii="Times New Roman" w:hAnsi="Times New Roman" w:cs="Times New Roman"/>
          <w:noProof/>
          <w:sz w:val="24"/>
          <w:szCs w:val="24"/>
        </w:rPr>
        <w:t>, 213–219.</w:t>
      </w:r>
    </w:p>
    <w:p w:rsidR="008B7B4D" w:rsidRPr="00380A23" w:rsidRDefault="00A8724A" w:rsidP="00A8724A">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Pr>
          <w:rFonts w:ascii="Times New Roman" w:hAnsi="Times New Roman" w:cs="Times New Roman"/>
          <w:b/>
          <w:sz w:val="24"/>
        </w:rPr>
        <w:fldChar w:fldCharType="end"/>
      </w:r>
    </w:p>
    <w:p w:rsidR="004B2BF0" w:rsidRDefault="004B2BF0" w:rsidP="004B2BF0">
      <w:pPr>
        <w:spacing w:after="0" w:line="480" w:lineRule="auto"/>
        <w:jc w:val="both"/>
        <w:rPr>
          <w:rFonts w:ascii="Times New Roman" w:hAnsi="Times New Roman" w:cs="Times New Roman"/>
          <w:sz w:val="24"/>
          <w:szCs w:val="24"/>
        </w:rPr>
      </w:pPr>
    </w:p>
    <w:p w:rsidR="004B2BF0" w:rsidRPr="0086600D" w:rsidRDefault="004B2BF0" w:rsidP="002154A7">
      <w:pPr>
        <w:spacing w:after="0" w:line="480" w:lineRule="auto"/>
        <w:ind w:firstLine="567"/>
        <w:jc w:val="both"/>
        <w:rPr>
          <w:rFonts w:ascii="Times New Roman" w:hAnsi="Times New Roman" w:cs="Times New Roman"/>
          <w:sz w:val="24"/>
          <w:szCs w:val="24"/>
        </w:rPr>
      </w:pPr>
    </w:p>
    <w:sectPr w:rsidR="004B2BF0" w:rsidRPr="0086600D" w:rsidSect="0092654C">
      <w:footerReference w:type="default" r:id="rId31"/>
      <w:pgSz w:w="11907" w:h="16839" w:code="9"/>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766" w:rsidRDefault="00F46766" w:rsidP="004A30CF">
      <w:pPr>
        <w:spacing w:after="0" w:line="240" w:lineRule="auto"/>
      </w:pPr>
      <w:r>
        <w:separator/>
      </w:r>
    </w:p>
  </w:endnote>
  <w:endnote w:type="continuationSeparator" w:id="0">
    <w:p w:rsidR="00F46766" w:rsidRDefault="00F46766" w:rsidP="004A3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2332834"/>
      <w:docPartObj>
        <w:docPartGallery w:val="Page Numbers (Bottom of Page)"/>
        <w:docPartUnique/>
      </w:docPartObj>
    </w:sdtPr>
    <w:sdtEndPr>
      <w:rPr>
        <w:noProof/>
      </w:rPr>
    </w:sdtEndPr>
    <w:sdtContent>
      <w:p w:rsidR="004A30CF" w:rsidRDefault="004A30CF">
        <w:pPr>
          <w:pStyle w:val="Footer"/>
          <w:jc w:val="center"/>
        </w:pPr>
        <w:r w:rsidRPr="004A30CF">
          <w:rPr>
            <w:rFonts w:ascii="Times New Roman" w:hAnsi="Times New Roman" w:cs="Times New Roman"/>
            <w:sz w:val="24"/>
            <w:szCs w:val="24"/>
          </w:rPr>
          <w:fldChar w:fldCharType="begin"/>
        </w:r>
        <w:r w:rsidRPr="004A30CF">
          <w:rPr>
            <w:rFonts w:ascii="Times New Roman" w:hAnsi="Times New Roman" w:cs="Times New Roman"/>
            <w:sz w:val="24"/>
            <w:szCs w:val="24"/>
          </w:rPr>
          <w:instrText xml:space="preserve"> PAGE   \* MERGEFORMAT </w:instrText>
        </w:r>
        <w:r w:rsidRPr="004A30CF">
          <w:rPr>
            <w:rFonts w:ascii="Times New Roman" w:hAnsi="Times New Roman" w:cs="Times New Roman"/>
            <w:sz w:val="24"/>
            <w:szCs w:val="24"/>
          </w:rPr>
          <w:fldChar w:fldCharType="separate"/>
        </w:r>
        <w:r w:rsidR="00DF73F5">
          <w:rPr>
            <w:rFonts w:ascii="Times New Roman" w:hAnsi="Times New Roman" w:cs="Times New Roman"/>
            <w:noProof/>
            <w:sz w:val="24"/>
            <w:szCs w:val="24"/>
          </w:rPr>
          <w:t>1</w:t>
        </w:r>
        <w:r w:rsidRPr="004A30CF">
          <w:rPr>
            <w:rFonts w:ascii="Times New Roman" w:hAnsi="Times New Roman" w:cs="Times New Roman"/>
            <w:noProof/>
            <w:sz w:val="24"/>
            <w:szCs w:val="24"/>
          </w:rPr>
          <w:fldChar w:fldCharType="end"/>
        </w:r>
      </w:p>
    </w:sdtContent>
  </w:sdt>
  <w:p w:rsidR="004A30CF" w:rsidRDefault="004A30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766" w:rsidRDefault="00F46766" w:rsidP="004A30CF">
      <w:pPr>
        <w:spacing w:after="0" w:line="240" w:lineRule="auto"/>
      </w:pPr>
      <w:r>
        <w:separator/>
      </w:r>
    </w:p>
  </w:footnote>
  <w:footnote w:type="continuationSeparator" w:id="0">
    <w:p w:rsidR="00F46766" w:rsidRDefault="00F46766" w:rsidP="004A30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54C"/>
    <w:rsid w:val="00000DBB"/>
    <w:rsid w:val="000671C9"/>
    <w:rsid w:val="00072ABE"/>
    <w:rsid w:val="00075DD8"/>
    <w:rsid w:val="000A1EE2"/>
    <w:rsid w:val="000A288B"/>
    <w:rsid w:val="000D528A"/>
    <w:rsid w:val="000E3455"/>
    <w:rsid w:val="00124795"/>
    <w:rsid w:val="0014367D"/>
    <w:rsid w:val="0015045D"/>
    <w:rsid w:val="00163509"/>
    <w:rsid w:val="0016379E"/>
    <w:rsid w:val="0017061F"/>
    <w:rsid w:val="001837DE"/>
    <w:rsid w:val="001A6A75"/>
    <w:rsid w:val="001E3A60"/>
    <w:rsid w:val="001E625E"/>
    <w:rsid w:val="002154A7"/>
    <w:rsid w:val="0021797A"/>
    <w:rsid w:val="002378B5"/>
    <w:rsid w:val="00267412"/>
    <w:rsid w:val="00273D8F"/>
    <w:rsid w:val="00276A66"/>
    <w:rsid w:val="00295415"/>
    <w:rsid w:val="002D1ED3"/>
    <w:rsid w:val="00327BFB"/>
    <w:rsid w:val="003601D1"/>
    <w:rsid w:val="00380A23"/>
    <w:rsid w:val="0038186E"/>
    <w:rsid w:val="00383072"/>
    <w:rsid w:val="003A1148"/>
    <w:rsid w:val="003D0875"/>
    <w:rsid w:val="003D3F93"/>
    <w:rsid w:val="00412C83"/>
    <w:rsid w:val="004250B6"/>
    <w:rsid w:val="00432E73"/>
    <w:rsid w:val="004509C4"/>
    <w:rsid w:val="00493586"/>
    <w:rsid w:val="004A30CF"/>
    <w:rsid w:val="004A4B6A"/>
    <w:rsid w:val="004B2825"/>
    <w:rsid w:val="004B2BF0"/>
    <w:rsid w:val="004E0DA6"/>
    <w:rsid w:val="005232E8"/>
    <w:rsid w:val="00543DD9"/>
    <w:rsid w:val="005460B0"/>
    <w:rsid w:val="00547FFB"/>
    <w:rsid w:val="00570CB9"/>
    <w:rsid w:val="00575B30"/>
    <w:rsid w:val="00581A5B"/>
    <w:rsid w:val="005C1FB9"/>
    <w:rsid w:val="005D013C"/>
    <w:rsid w:val="005F5771"/>
    <w:rsid w:val="00646532"/>
    <w:rsid w:val="00684676"/>
    <w:rsid w:val="006A1A3B"/>
    <w:rsid w:val="006B1CAF"/>
    <w:rsid w:val="006D0083"/>
    <w:rsid w:val="006D5505"/>
    <w:rsid w:val="006E2725"/>
    <w:rsid w:val="0070249F"/>
    <w:rsid w:val="00712D74"/>
    <w:rsid w:val="00716BBC"/>
    <w:rsid w:val="00724F78"/>
    <w:rsid w:val="007269DC"/>
    <w:rsid w:val="00732707"/>
    <w:rsid w:val="00734FF2"/>
    <w:rsid w:val="007361B3"/>
    <w:rsid w:val="00740F3D"/>
    <w:rsid w:val="0075710F"/>
    <w:rsid w:val="007B6580"/>
    <w:rsid w:val="007F2C5F"/>
    <w:rsid w:val="008426CE"/>
    <w:rsid w:val="00842E04"/>
    <w:rsid w:val="00852BDD"/>
    <w:rsid w:val="00853352"/>
    <w:rsid w:val="0086600D"/>
    <w:rsid w:val="008849BB"/>
    <w:rsid w:val="00884CF6"/>
    <w:rsid w:val="008860C4"/>
    <w:rsid w:val="008A0F1C"/>
    <w:rsid w:val="008A23A5"/>
    <w:rsid w:val="008A355D"/>
    <w:rsid w:val="008B7B4D"/>
    <w:rsid w:val="008C1F2E"/>
    <w:rsid w:val="008D3953"/>
    <w:rsid w:val="008F4A5A"/>
    <w:rsid w:val="00917B2D"/>
    <w:rsid w:val="0092654C"/>
    <w:rsid w:val="00931927"/>
    <w:rsid w:val="009414CE"/>
    <w:rsid w:val="00975909"/>
    <w:rsid w:val="009850BD"/>
    <w:rsid w:val="009A0124"/>
    <w:rsid w:val="009A288E"/>
    <w:rsid w:val="009E17FA"/>
    <w:rsid w:val="009E7876"/>
    <w:rsid w:val="00A32974"/>
    <w:rsid w:val="00A36F0C"/>
    <w:rsid w:val="00A66D61"/>
    <w:rsid w:val="00A67CC4"/>
    <w:rsid w:val="00A8724A"/>
    <w:rsid w:val="00A9123F"/>
    <w:rsid w:val="00A95C84"/>
    <w:rsid w:val="00A973EC"/>
    <w:rsid w:val="00AB5D2D"/>
    <w:rsid w:val="00AC1AFF"/>
    <w:rsid w:val="00AC274B"/>
    <w:rsid w:val="00AE0EFD"/>
    <w:rsid w:val="00AE2DF7"/>
    <w:rsid w:val="00AE4D64"/>
    <w:rsid w:val="00AF3088"/>
    <w:rsid w:val="00AF35D8"/>
    <w:rsid w:val="00AF6531"/>
    <w:rsid w:val="00B14D39"/>
    <w:rsid w:val="00B4442F"/>
    <w:rsid w:val="00B80894"/>
    <w:rsid w:val="00BD54EE"/>
    <w:rsid w:val="00BD6CA7"/>
    <w:rsid w:val="00BF7CF1"/>
    <w:rsid w:val="00C278B2"/>
    <w:rsid w:val="00C72455"/>
    <w:rsid w:val="00C87A05"/>
    <w:rsid w:val="00CA1E59"/>
    <w:rsid w:val="00CC186A"/>
    <w:rsid w:val="00CD1B21"/>
    <w:rsid w:val="00CE49D8"/>
    <w:rsid w:val="00CE5ABD"/>
    <w:rsid w:val="00D039CD"/>
    <w:rsid w:val="00D22EBC"/>
    <w:rsid w:val="00D4001F"/>
    <w:rsid w:val="00D43997"/>
    <w:rsid w:val="00D53C6B"/>
    <w:rsid w:val="00D60B09"/>
    <w:rsid w:val="00D667FB"/>
    <w:rsid w:val="00DB07C8"/>
    <w:rsid w:val="00DB4E65"/>
    <w:rsid w:val="00DC7A42"/>
    <w:rsid w:val="00DD22B9"/>
    <w:rsid w:val="00DD7F10"/>
    <w:rsid w:val="00DF73F5"/>
    <w:rsid w:val="00E159B2"/>
    <w:rsid w:val="00E27353"/>
    <w:rsid w:val="00E37F9B"/>
    <w:rsid w:val="00E51F3B"/>
    <w:rsid w:val="00E80DED"/>
    <w:rsid w:val="00E87582"/>
    <w:rsid w:val="00E92CCF"/>
    <w:rsid w:val="00EC4F39"/>
    <w:rsid w:val="00EE04A6"/>
    <w:rsid w:val="00EF30AA"/>
    <w:rsid w:val="00F017BF"/>
    <w:rsid w:val="00F13EF0"/>
    <w:rsid w:val="00F218E7"/>
    <w:rsid w:val="00F2328A"/>
    <w:rsid w:val="00F2372D"/>
    <w:rsid w:val="00F46766"/>
    <w:rsid w:val="00F50E0F"/>
    <w:rsid w:val="00F55888"/>
    <w:rsid w:val="00F63286"/>
    <w:rsid w:val="00FB68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600D"/>
    <w:rPr>
      <w:color w:val="0000FF" w:themeColor="hyperlink"/>
      <w:u w:val="single"/>
    </w:rPr>
  </w:style>
  <w:style w:type="paragraph" w:styleId="ListParagraph">
    <w:name w:val="List Paragraph"/>
    <w:aliases w:val="Heading 2 Char1,Char Char,List Paragraph1,Title Proposal"/>
    <w:basedOn w:val="Normal"/>
    <w:link w:val="ListParagraphChar"/>
    <w:uiPriority w:val="34"/>
    <w:qFormat/>
    <w:rsid w:val="004B2BF0"/>
    <w:pPr>
      <w:ind w:left="720"/>
      <w:contextualSpacing/>
    </w:pPr>
  </w:style>
  <w:style w:type="character" w:customStyle="1" w:styleId="ListParagraphChar">
    <w:name w:val="List Paragraph Char"/>
    <w:aliases w:val="Heading 2 Char1 Char,Char Char Char,List Paragraph1 Char,Title Proposal Char"/>
    <w:basedOn w:val="DefaultParagraphFont"/>
    <w:link w:val="ListParagraph"/>
    <w:uiPriority w:val="34"/>
    <w:qFormat/>
    <w:rsid w:val="004B2BF0"/>
  </w:style>
  <w:style w:type="table" w:styleId="TableGrid">
    <w:name w:val="Table Grid"/>
    <w:basedOn w:val="TableNormal"/>
    <w:uiPriority w:val="59"/>
    <w:rsid w:val="004B2B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724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455"/>
    <w:rPr>
      <w:rFonts w:ascii="Tahoma" w:hAnsi="Tahoma" w:cs="Tahoma"/>
      <w:sz w:val="16"/>
      <w:szCs w:val="16"/>
    </w:rPr>
  </w:style>
  <w:style w:type="paragraph" w:styleId="Header">
    <w:name w:val="header"/>
    <w:basedOn w:val="Normal"/>
    <w:link w:val="HeaderChar"/>
    <w:uiPriority w:val="99"/>
    <w:unhideWhenUsed/>
    <w:rsid w:val="004A30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0CF"/>
  </w:style>
  <w:style w:type="paragraph" w:styleId="Footer">
    <w:name w:val="footer"/>
    <w:basedOn w:val="Normal"/>
    <w:link w:val="FooterChar"/>
    <w:uiPriority w:val="99"/>
    <w:unhideWhenUsed/>
    <w:rsid w:val="004A30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0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600D"/>
    <w:rPr>
      <w:color w:val="0000FF" w:themeColor="hyperlink"/>
      <w:u w:val="single"/>
    </w:rPr>
  </w:style>
  <w:style w:type="paragraph" w:styleId="ListParagraph">
    <w:name w:val="List Paragraph"/>
    <w:aliases w:val="Heading 2 Char1,Char Char,List Paragraph1,Title Proposal"/>
    <w:basedOn w:val="Normal"/>
    <w:link w:val="ListParagraphChar"/>
    <w:uiPriority w:val="34"/>
    <w:qFormat/>
    <w:rsid w:val="004B2BF0"/>
    <w:pPr>
      <w:ind w:left="720"/>
      <w:contextualSpacing/>
    </w:pPr>
  </w:style>
  <w:style w:type="character" w:customStyle="1" w:styleId="ListParagraphChar">
    <w:name w:val="List Paragraph Char"/>
    <w:aliases w:val="Heading 2 Char1 Char,Char Char Char,List Paragraph1 Char,Title Proposal Char"/>
    <w:basedOn w:val="DefaultParagraphFont"/>
    <w:link w:val="ListParagraph"/>
    <w:uiPriority w:val="34"/>
    <w:qFormat/>
    <w:rsid w:val="004B2BF0"/>
  </w:style>
  <w:style w:type="table" w:styleId="TableGrid">
    <w:name w:val="Table Grid"/>
    <w:basedOn w:val="TableNormal"/>
    <w:uiPriority w:val="59"/>
    <w:rsid w:val="004B2B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724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455"/>
    <w:rPr>
      <w:rFonts w:ascii="Tahoma" w:hAnsi="Tahoma" w:cs="Tahoma"/>
      <w:sz w:val="16"/>
      <w:szCs w:val="16"/>
    </w:rPr>
  </w:style>
  <w:style w:type="paragraph" w:styleId="Header">
    <w:name w:val="header"/>
    <w:basedOn w:val="Normal"/>
    <w:link w:val="HeaderChar"/>
    <w:uiPriority w:val="99"/>
    <w:unhideWhenUsed/>
    <w:rsid w:val="004A30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0CF"/>
  </w:style>
  <w:style w:type="paragraph" w:styleId="Footer">
    <w:name w:val="footer"/>
    <w:basedOn w:val="Normal"/>
    <w:link w:val="FooterChar"/>
    <w:uiPriority w:val="99"/>
    <w:unhideWhenUsed/>
    <w:rsid w:val="004A30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0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tnobs@staff.uns.ac.id"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4.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3.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1.xml"/><Relationship Id="rId28" Type="http://schemas.openxmlformats.org/officeDocument/2006/relationships/chart" Target="charts/chart6.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5.xml"/><Relationship Id="rId30" Type="http://schemas.openxmlformats.org/officeDocument/2006/relationships/chart" Target="charts/chart8.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BISMILLAH%20SKRIPSIKU\Analisis%20kimia%20tanah%20nanda%20(normalisas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wnloads\BISMILLAH%20SKRIPSIKU\Analisis%20kimia%20tanah%20nanda%20(normalisas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wnloads\BISMILLAH%20SKRIPSIKU\Analisis%20kimia%20tanah%20nanda%20(normalisas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wnloads\BISMILLAH%20SKRIPSIKU\Analisis%20kimia%20tanah%20nanda%20(normalisas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wnloads\BISMILLAH%20SKRIPSIKU\Analisis%20kimia%20tanah%20nanda%20(normalisas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wnloads\BISMILLAH%20SKRIPSIKU\Data%20Tanaman(normalisas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ownloads\BISMILLAH%20SKRIPSIKU\Data%20Tanaman(normalisas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ownloads\BISMILLAH%20SKRIPSIKU\Data%20Tanaman(normalisas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pH!$B$28</c:f>
              <c:strCache>
                <c:ptCount val="1"/>
                <c:pt idx="0">
                  <c:v>nilai</c:v>
                </c:pt>
              </c:strCache>
            </c:strRef>
          </c:tx>
          <c:spPr>
            <a:pattFill prst="zigZag">
              <a:fgClr>
                <a:schemeClr val="accent1"/>
              </a:fgClr>
              <a:bgClr>
                <a:schemeClr val="bg1"/>
              </a:bgClr>
            </a:pattFill>
            <a:ln>
              <a:solidFill>
                <a:schemeClr val="tx1"/>
              </a:solidFill>
              <a:prstDash val="sysDot"/>
            </a:ln>
          </c:spPr>
          <c:invertIfNegative val="0"/>
          <c:dPt>
            <c:idx val="1"/>
            <c:invertIfNegative val="0"/>
            <c:bubble3D val="0"/>
            <c:spPr>
              <a:pattFill prst="dkDnDiag">
                <a:fgClr>
                  <a:schemeClr val="accent1"/>
                </a:fgClr>
                <a:bgClr>
                  <a:schemeClr val="bg1"/>
                </a:bgClr>
              </a:pattFill>
              <a:ln>
                <a:solidFill>
                  <a:schemeClr val="tx1"/>
                </a:solidFill>
                <a:prstDash val="sysDot"/>
              </a:ln>
            </c:spPr>
          </c:dPt>
          <c:dPt>
            <c:idx val="2"/>
            <c:invertIfNegative val="0"/>
            <c:bubble3D val="0"/>
            <c:spPr>
              <a:pattFill prst="narVert">
                <a:fgClr>
                  <a:schemeClr val="accent1"/>
                </a:fgClr>
                <a:bgClr>
                  <a:schemeClr val="bg1"/>
                </a:bgClr>
              </a:pattFill>
              <a:ln>
                <a:solidFill>
                  <a:schemeClr val="tx1"/>
                </a:solidFill>
                <a:prstDash val="sysDot"/>
              </a:ln>
            </c:spPr>
          </c:dPt>
          <c:dPt>
            <c:idx val="3"/>
            <c:invertIfNegative val="0"/>
            <c:bubble3D val="0"/>
            <c:spPr>
              <a:pattFill prst="dkUpDiag">
                <a:fgClr>
                  <a:schemeClr val="accent1"/>
                </a:fgClr>
                <a:bgClr>
                  <a:schemeClr val="bg1"/>
                </a:bgClr>
              </a:pattFill>
              <a:ln>
                <a:solidFill>
                  <a:schemeClr val="tx1"/>
                </a:solidFill>
                <a:prstDash val="sysDot"/>
              </a:ln>
            </c:spPr>
          </c:dPt>
          <c:dPt>
            <c:idx val="4"/>
            <c:invertIfNegative val="0"/>
            <c:bubble3D val="0"/>
            <c:spPr>
              <a:pattFill prst="narHorz">
                <a:fgClr>
                  <a:schemeClr val="accent1"/>
                </a:fgClr>
                <a:bgClr>
                  <a:schemeClr val="bg1"/>
                </a:bgClr>
              </a:pattFill>
              <a:ln>
                <a:solidFill>
                  <a:schemeClr val="tx1"/>
                </a:solidFill>
                <a:prstDash val="sysDot"/>
              </a:ln>
            </c:spPr>
          </c:dPt>
          <c:dLbls>
            <c:dLbl>
              <c:idx val="0"/>
              <c:tx>
                <c:rich>
                  <a:bodyPr/>
                  <a:lstStyle/>
                  <a:p>
                    <a:r>
                      <a:rPr lang="en-US"/>
                      <a:t>6.47 a</a:t>
                    </a:r>
                  </a:p>
                </c:rich>
              </c:tx>
              <c:dLblPos val="outEnd"/>
              <c:showLegendKey val="0"/>
              <c:showVal val="1"/>
              <c:showCatName val="0"/>
              <c:showSerName val="0"/>
              <c:showPercent val="0"/>
              <c:showBubbleSize val="0"/>
            </c:dLbl>
            <c:dLbl>
              <c:idx val="1"/>
              <c:tx>
                <c:rich>
                  <a:bodyPr/>
                  <a:lstStyle/>
                  <a:p>
                    <a:r>
                      <a:rPr lang="en-US"/>
                      <a:t>6.50 a</a:t>
                    </a:r>
                  </a:p>
                </c:rich>
              </c:tx>
              <c:dLblPos val="outEnd"/>
              <c:showLegendKey val="0"/>
              <c:showVal val="1"/>
              <c:showCatName val="0"/>
              <c:showSerName val="0"/>
              <c:showPercent val="0"/>
              <c:showBubbleSize val="0"/>
            </c:dLbl>
            <c:dLbl>
              <c:idx val="2"/>
              <c:tx>
                <c:rich>
                  <a:bodyPr/>
                  <a:lstStyle/>
                  <a:p>
                    <a:r>
                      <a:rPr lang="en-US"/>
                      <a:t>6.83</a:t>
                    </a:r>
                    <a:r>
                      <a:rPr lang="en-US" baseline="0"/>
                      <a:t> c</a:t>
                    </a:r>
                    <a:endParaRPr lang="en-US"/>
                  </a:p>
                </c:rich>
              </c:tx>
              <c:dLblPos val="outEnd"/>
              <c:showLegendKey val="0"/>
              <c:showVal val="1"/>
              <c:showCatName val="0"/>
              <c:showSerName val="0"/>
              <c:showPercent val="0"/>
              <c:showBubbleSize val="0"/>
            </c:dLbl>
            <c:dLbl>
              <c:idx val="3"/>
              <c:tx>
                <c:rich>
                  <a:bodyPr/>
                  <a:lstStyle/>
                  <a:p>
                    <a:r>
                      <a:rPr lang="en-US"/>
                      <a:t>6.63</a:t>
                    </a:r>
                    <a:r>
                      <a:rPr lang="en-US" baseline="0"/>
                      <a:t> b</a:t>
                    </a:r>
                    <a:endParaRPr lang="en-US"/>
                  </a:p>
                </c:rich>
              </c:tx>
              <c:dLblPos val="outEnd"/>
              <c:showLegendKey val="0"/>
              <c:showVal val="1"/>
              <c:showCatName val="0"/>
              <c:showSerName val="0"/>
              <c:showPercent val="0"/>
              <c:showBubbleSize val="0"/>
            </c:dLbl>
            <c:dLbl>
              <c:idx val="4"/>
              <c:tx>
                <c:rich>
                  <a:bodyPr/>
                  <a:lstStyle/>
                  <a:p>
                    <a:r>
                      <a:rPr lang="en-US"/>
                      <a:t>6.61</a:t>
                    </a:r>
                    <a:r>
                      <a:rPr lang="en-US" baseline="0"/>
                      <a:t> b</a:t>
                    </a:r>
                    <a:endParaRPr lang="en-US"/>
                  </a:p>
                </c:rich>
              </c:tx>
              <c:dLblPos val="outEnd"/>
              <c:showLegendKey val="0"/>
              <c:showVal val="1"/>
              <c:showCatName val="0"/>
              <c:showSerName val="0"/>
              <c:showPercent val="0"/>
              <c:showBubbleSize val="0"/>
            </c:dLbl>
            <c:txPr>
              <a:bodyPr rot="0" vert="horz"/>
              <a:lstStyle/>
              <a:p>
                <a:pPr>
                  <a:defRPr/>
                </a:pPr>
                <a:endParaRPr lang="en-US"/>
              </a:p>
            </c:txPr>
            <c:dLblPos val="outEnd"/>
            <c:showLegendKey val="0"/>
            <c:showVal val="1"/>
            <c:showCatName val="0"/>
            <c:showSerName val="0"/>
            <c:showPercent val="0"/>
            <c:showBubbleSize val="0"/>
            <c:showLeaderLines val="0"/>
          </c:dLbls>
          <c:cat>
            <c:strRef>
              <c:f>pH!$A$29:$A$33</c:f>
              <c:strCache>
                <c:ptCount val="5"/>
                <c:pt idx="0">
                  <c:v>N</c:v>
                </c:pt>
                <c:pt idx="1">
                  <c:v>LS</c:v>
                </c:pt>
                <c:pt idx="2">
                  <c:v>LH</c:v>
                </c:pt>
                <c:pt idx="3">
                  <c:v>LY</c:v>
                </c:pt>
                <c:pt idx="4">
                  <c:v>LP</c:v>
                </c:pt>
              </c:strCache>
            </c:strRef>
          </c:cat>
          <c:val>
            <c:numRef>
              <c:f>pH!$B$29:$B$33</c:f>
              <c:numCache>
                <c:formatCode>0.00</c:formatCode>
                <c:ptCount val="5"/>
                <c:pt idx="0">
                  <c:v>6.47</c:v>
                </c:pt>
                <c:pt idx="1">
                  <c:v>6.5</c:v>
                </c:pt>
                <c:pt idx="2">
                  <c:v>6.83</c:v>
                </c:pt>
                <c:pt idx="3">
                  <c:v>6.63</c:v>
                </c:pt>
                <c:pt idx="4">
                  <c:v>6.61</c:v>
                </c:pt>
              </c:numCache>
            </c:numRef>
          </c:val>
        </c:ser>
        <c:ser>
          <c:idx val="1"/>
          <c:order val="1"/>
          <c:tx>
            <c:strRef>
              <c:f>pH!$C$28</c:f>
              <c:strCache>
                <c:ptCount val="1"/>
                <c:pt idx="0">
                  <c:v>dmrt</c:v>
                </c:pt>
              </c:strCache>
            </c:strRef>
          </c:tx>
          <c:invertIfNegative val="0"/>
          <c:dLbls>
            <c:delete val="1"/>
          </c:dLbls>
          <c:cat>
            <c:strRef>
              <c:f>pH!$A$29:$A$33</c:f>
              <c:strCache>
                <c:ptCount val="5"/>
                <c:pt idx="0">
                  <c:v>N</c:v>
                </c:pt>
                <c:pt idx="1">
                  <c:v>LS</c:v>
                </c:pt>
                <c:pt idx="2">
                  <c:v>LH</c:v>
                </c:pt>
                <c:pt idx="3">
                  <c:v>LY</c:v>
                </c:pt>
                <c:pt idx="4">
                  <c:v>LP</c:v>
                </c:pt>
              </c:strCache>
            </c:strRef>
          </c:cat>
          <c:val>
            <c:numRef>
              <c:f>pH!$C$29:$C$33</c:f>
              <c:numCache>
                <c:formatCode>General</c:formatCode>
                <c:ptCount val="5"/>
                <c:pt idx="0">
                  <c:v>0</c:v>
                </c:pt>
                <c:pt idx="1">
                  <c:v>0</c:v>
                </c:pt>
                <c:pt idx="2">
                  <c:v>0</c:v>
                </c:pt>
                <c:pt idx="3">
                  <c:v>0</c:v>
                </c:pt>
                <c:pt idx="4">
                  <c:v>0</c:v>
                </c:pt>
              </c:numCache>
            </c:numRef>
          </c:val>
        </c:ser>
        <c:dLbls>
          <c:dLblPos val="outEnd"/>
          <c:showLegendKey val="0"/>
          <c:showVal val="1"/>
          <c:showCatName val="0"/>
          <c:showSerName val="0"/>
          <c:showPercent val="0"/>
          <c:showBubbleSize val="0"/>
        </c:dLbls>
        <c:gapWidth val="155"/>
        <c:overlap val="94"/>
        <c:axId val="273688832"/>
        <c:axId val="273703296"/>
      </c:barChart>
      <c:catAx>
        <c:axId val="273688832"/>
        <c:scaling>
          <c:orientation val="minMax"/>
        </c:scaling>
        <c:delete val="0"/>
        <c:axPos val="b"/>
        <c:title>
          <c:tx>
            <c:rich>
              <a:bodyPr/>
              <a:lstStyle/>
              <a:p>
                <a:pPr>
                  <a:defRPr b="0"/>
                </a:pPr>
                <a:r>
                  <a:rPr lang="en-US" b="0"/>
                  <a:t>Treatments</a:t>
                </a:r>
              </a:p>
            </c:rich>
          </c:tx>
          <c:overlay val="0"/>
        </c:title>
        <c:majorTickMark val="out"/>
        <c:minorTickMark val="none"/>
        <c:tickLblPos val="nextTo"/>
        <c:crossAx val="273703296"/>
        <c:crosses val="autoZero"/>
        <c:auto val="1"/>
        <c:lblAlgn val="ctr"/>
        <c:lblOffset val="100"/>
        <c:noMultiLvlLbl val="0"/>
      </c:catAx>
      <c:valAx>
        <c:axId val="273703296"/>
        <c:scaling>
          <c:orientation val="minMax"/>
          <c:max val="7"/>
          <c:min val="6"/>
        </c:scaling>
        <c:delete val="0"/>
        <c:axPos val="l"/>
        <c:majorGridlines/>
        <c:title>
          <c:tx>
            <c:rich>
              <a:bodyPr rot="-5400000" vert="horz"/>
              <a:lstStyle/>
              <a:p>
                <a:pPr>
                  <a:defRPr b="0"/>
                </a:pPr>
                <a:r>
                  <a:rPr lang="en-US" b="0"/>
                  <a:t> Soil pH </a:t>
                </a:r>
              </a:p>
            </c:rich>
          </c:tx>
          <c:overlay val="0"/>
        </c:title>
        <c:numFmt formatCode="0.00" sourceLinked="1"/>
        <c:majorTickMark val="none"/>
        <c:minorTickMark val="none"/>
        <c:tickLblPos val="nextTo"/>
        <c:crossAx val="273688832"/>
        <c:crosses val="autoZero"/>
        <c:crossBetween val="between"/>
      </c:valAx>
      <c:spPr>
        <a:ln>
          <a:noFill/>
        </a:ln>
      </c:spPr>
    </c:plotArea>
    <c:plotVisOnly val="1"/>
    <c:dispBlanksAs val="gap"/>
    <c:showDLblsOverMax val="0"/>
  </c:chart>
  <c:spPr>
    <a:ln>
      <a:noFill/>
    </a:ln>
    <a:effectLst/>
  </c:spPr>
  <c:txPr>
    <a:bodyPr/>
    <a:lstStyle/>
    <a:p>
      <a:pPr>
        <a:defRPr baseline="0">
          <a:latin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'C-Organik'!$D$45</c:f>
              <c:strCache>
                <c:ptCount val="1"/>
                <c:pt idx="0">
                  <c:v>nilai</c:v>
                </c:pt>
              </c:strCache>
            </c:strRef>
          </c:tx>
          <c:spPr>
            <a:ln>
              <a:solidFill>
                <a:schemeClr val="tx1"/>
              </a:solidFill>
            </a:ln>
          </c:spPr>
          <c:invertIfNegative val="0"/>
          <c:dPt>
            <c:idx val="0"/>
            <c:invertIfNegative val="0"/>
            <c:bubble3D val="0"/>
            <c:spPr>
              <a:pattFill prst="zigZag">
                <a:fgClr>
                  <a:schemeClr val="accent1"/>
                </a:fgClr>
                <a:bgClr>
                  <a:schemeClr val="bg1"/>
                </a:bgClr>
              </a:pattFill>
              <a:ln>
                <a:solidFill>
                  <a:schemeClr val="tx1"/>
                </a:solidFill>
              </a:ln>
            </c:spPr>
          </c:dPt>
          <c:dPt>
            <c:idx val="1"/>
            <c:invertIfNegative val="0"/>
            <c:bubble3D val="0"/>
            <c:spPr>
              <a:pattFill prst="dkDnDiag">
                <a:fgClr>
                  <a:schemeClr val="accent1"/>
                </a:fgClr>
                <a:bgClr>
                  <a:schemeClr val="bg1"/>
                </a:bgClr>
              </a:pattFill>
              <a:ln>
                <a:solidFill>
                  <a:schemeClr val="tx1"/>
                </a:solidFill>
              </a:ln>
            </c:spPr>
          </c:dPt>
          <c:dPt>
            <c:idx val="2"/>
            <c:invertIfNegative val="0"/>
            <c:bubble3D val="0"/>
            <c:spPr>
              <a:pattFill prst="narVert">
                <a:fgClr>
                  <a:schemeClr val="accent1"/>
                </a:fgClr>
                <a:bgClr>
                  <a:schemeClr val="bg1"/>
                </a:bgClr>
              </a:pattFill>
              <a:ln>
                <a:solidFill>
                  <a:schemeClr val="tx1"/>
                </a:solidFill>
              </a:ln>
            </c:spPr>
          </c:dPt>
          <c:dPt>
            <c:idx val="3"/>
            <c:invertIfNegative val="0"/>
            <c:bubble3D val="0"/>
            <c:spPr>
              <a:pattFill prst="dkUpDiag">
                <a:fgClr>
                  <a:schemeClr val="accent1"/>
                </a:fgClr>
                <a:bgClr>
                  <a:schemeClr val="bg1"/>
                </a:bgClr>
              </a:pattFill>
              <a:ln>
                <a:solidFill>
                  <a:schemeClr val="tx1"/>
                </a:solidFill>
              </a:ln>
            </c:spPr>
          </c:dPt>
          <c:dPt>
            <c:idx val="4"/>
            <c:invertIfNegative val="0"/>
            <c:bubble3D val="0"/>
            <c:spPr>
              <a:pattFill prst="narHorz">
                <a:fgClr>
                  <a:schemeClr val="accent1"/>
                </a:fgClr>
                <a:bgClr>
                  <a:schemeClr val="bg1"/>
                </a:bgClr>
              </a:pattFill>
              <a:ln>
                <a:solidFill>
                  <a:schemeClr val="tx1"/>
                </a:solidFill>
              </a:ln>
            </c:spPr>
          </c:dPt>
          <c:dLbls>
            <c:dLbl>
              <c:idx val="0"/>
              <c:tx>
                <c:rich>
                  <a:bodyPr/>
                  <a:lstStyle/>
                  <a:p>
                    <a:r>
                      <a:rPr lang="en-US"/>
                      <a:t>1.09</a:t>
                    </a:r>
                    <a:r>
                      <a:rPr lang="en-US" baseline="0"/>
                      <a:t> b</a:t>
                    </a:r>
                    <a:endParaRPr lang="en-US"/>
                  </a:p>
                </c:rich>
              </c:tx>
              <c:dLblPos val="outEnd"/>
              <c:showLegendKey val="0"/>
              <c:showVal val="1"/>
              <c:showCatName val="0"/>
              <c:showSerName val="0"/>
              <c:showPercent val="0"/>
              <c:showBubbleSize val="0"/>
            </c:dLbl>
            <c:dLbl>
              <c:idx val="1"/>
              <c:tx>
                <c:rich>
                  <a:bodyPr/>
                  <a:lstStyle/>
                  <a:p>
                    <a:r>
                      <a:rPr lang="en-US"/>
                      <a:t>1.10</a:t>
                    </a:r>
                    <a:r>
                      <a:rPr lang="en-US" baseline="0"/>
                      <a:t> b</a:t>
                    </a:r>
                    <a:endParaRPr lang="en-US"/>
                  </a:p>
                </c:rich>
              </c:tx>
              <c:dLblPos val="outEnd"/>
              <c:showLegendKey val="0"/>
              <c:showVal val="1"/>
              <c:showCatName val="0"/>
              <c:showSerName val="0"/>
              <c:showPercent val="0"/>
              <c:showBubbleSize val="0"/>
            </c:dLbl>
            <c:dLbl>
              <c:idx val="2"/>
              <c:tx>
                <c:rich>
                  <a:bodyPr/>
                  <a:lstStyle/>
                  <a:p>
                    <a:r>
                      <a:rPr lang="en-US"/>
                      <a:t>1.06</a:t>
                    </a:r>
                    <a:r>
                      <a:rPr lang="en-US" baseline="0"/>
                      <a:t> a</a:t>
                    </a:r>
                    <a:endParaRPr lang="en-US"/>
                  </a:p>
                </c:rich>
              </c:tx>
              <c:dLblPos val="outEnd"/>
              <c:showLegendKey val="0"/>
              <c:showVal val="1"/>
              <c:showCatName val="0"/>
              <c:showSerName val="0"/>
              <c:showPercent val="0"/>
              <c:showBubbleSize val="0"/>
            </c:dLbl>
            <c:dLbl>
              <c:idx val="3"/>
              <c:tx>
                <c:rich>
                  <a:bodyPr/>
                  <a:lstStyle/>
                  <a:p>
                    <a:r>
                      <a:rPr lang="en-US"/>
                      <a:t>1.12</a:t>
                    </a:r>
                    <a:r>
                      <a:rPr lang="en-US" baseline="0"/>
                      <a:t> c</a:t>
                    </a:r>
                    <a:endParaRPr lang="en-US"/>
                  </a:p>
                </c:rich>
              </c:tx>
              <c:dLblPos val="outEnd"/>
              <c:showLegendKey val="0"/>
              <c:showVal val="1"/>
              <c:showCatName val="0"/>
              <c:showSerName val="0"/>
              <c:showPercent val="0"/>
              <c:showBubbleSize val="0"/>
            </c:dLbl>
            <c:dLbl>
              <c:idx val="4"/>
              <c:tx>
                <c:rich>
                  <a:bodyPr/>
                  <a:lstStyle/>
                  <a:p>
                    <a:r>
                      <a:rPr lang="en-US"/>
                      <a:t>1.11 b c </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'C-Organik'!$C$46:$C$50</c:f>
              <c:strCache>
                <c:ptCount val="5"/>
                <c:pt idx="0">
                  <c:v>N</c:v>
                </c:pt>
                <c:pt idx="1">
                  <c:v>LS</c:v>
                </c:pt>
                <c:pt idx="2">
                  <c:v>LH</c:v>
                </c:pt>
                <c:pt idx="3">
                  <c:v>LY</c:v>
                </c:pt>
                <c:pt idx="4">
                  <c:v>LP</c:v>
                </c:pt>
              </c:strCache>
            </c:strRef>
          </c:cat>
          <c:val>
            <c:numRef>
              <c:f>'C-Organik'!$D$46:$D$50</c:f>
              <c:numCache>
                <c:formatCode>0.00</c:formatCode>
                <c:ptCount val="5"/>
                <c:pt idx="0">
                  <c:v>1.0900000000000001</c:v>
                </c:pt>
                <c:pt idx="1">
                  <c:v>1.1000000000000001</c:v>
                </c:pt>
                <c:pt idx="2">
                  <c:v>1.06</c:v>
                </c:pt>
                <c:pt idx="3">
                  <c:v>1.1200000000000001</c:v>
                </c:pt>
                <c:pt idx="4">
                  <c:v>1.1100000000000001</c:v>
                </c:pt>
              </c:numCache>
            </c:numRef>
          </c:val>
        </c:ser>
        <c:ser>
          <c:idx val="1"/>
          <c:order val="1"/>
          <c:tx>
            <c:strRef>
              <c:f>'C-Organik'!$E$45</c:f>
              <c:strCache>
                <c:ptCount val="1"/>
                <c:pt idx="0">
                  <c:v>dmrt </c:v>
                </c:pt>
              </c:strCache>
            </c:strRef>
          </c:tx>
          <c:invertIfNegative val="0"/>
          <c:dLbls>
            <c:delete val="1"/>
          </c:dLbls>
          <c:cat>
            <c:strRef>
              <c:f>'C-Organik'!$C$46:$C$50</c:f>
              <c:strCache>
                <c:ptCount val="5"/>
                <c:pt idx="0">
                  <c:v>N</c:v>
                </c:pt>
                <c:pt idx="1">
                  <c:v>LS</c:v>
                </c:pt>
                <c:pt idx="2">
                  <c:v>LH</c:v>
                </c:pt>
                <c:pt idx="3">
                  <c:v>LY</c:v>
                </c:pt>
                <c:pt idx="4">
                  <c:v>LP</c:v>
                </c:pt>
              </c:strCache>
            </c:strRef>
          </c:cat>
          <c:val>
            <c:numRef>
              <c:f>'C-Organik'!$E$46:$E$50</c:f>
              <c:numCache>
                <c:formatCode>General</c:formatCode>
                <c:ptCount val="5"/>
                <c:pt idx="0">
                  <c:v>0</c:v>
                </c:pt>
                <c:pt idx="1">
                  <c:v>0</c:v>
                </c:pt>
                <c:pt idx="2">
                  <c:v>0</c:v>
                </c:pt>
                <c:pt idx="3">
                  <c:v>0</c:v>
                </c:pt>
                <c:pt idx="4">
                  <c:v>0</c:v>
                </c:pt>
              </c:numCache>
            </c:numRef>
          </c:val>
        </c:ser>
        <c:dLbls>
          <c:dLblPos val="outEnd"/>
          <c:showLegendKey val="0"/>
          <c:showVal val="1"/>
          <c:showCatName val="0"/>
          <c:showSerName val="0"/>
          <c:showPercent val="0"/>
          <c:showBubbleSize val="0"/>
        </c:dLbls>
        <c:gapWidth val="155"/>
        <c:overlap val="94"/>
        <c:axId val="273734656"/>
        <c:axId val="273736832"/>
      </c:barChart>
      <c:catAx>
        <c:axId val="273734656"/>
        <c:scaling>
          <c:orientation val="minMax"/>
        </c:scaling>
        <c:delete val="0"/>
        <c:axPos val="b"/>
        <c:title>
          <c:tx>
            <c:rich>
              <a:bodyPr/>
              <a:lstStyle/>
              <a:p>
                <a:pPr>
                  <a:defRPr b="0"/>
                </a:pPr>
                <a:r>
                  <a:rPr lang="en-US" b="0"/>
                  <a:t>Treatments </a:t>
                </a:r>
              </a:p>
            </c:rich>
          </c:tx>
          <c:overlay val="0"/>
        </c:title>
        <c:majorTickMark val="none"/>
        <c:minorTickMark val="none"/>
        <c:tickLblPos val="nextTo"/>
        <c:crossAx val="273736832"/>
        <c:crosses val="autoZero"/>
        <c:auto val="1"/>
        <c:lblAlgn val="ctr"/>
        <c:lblOffset val="100"/>
        <c:noMultiLvlLbl val="0"/>
      </c:catAx>
      <c:valAx>
        <c:axId val="273736832"/>
        <c:scaling>
          <c:orientation val="minMax"/>
          <c:max val="1.245138888888889"/>
          <c:min val="1"/>
        </c:scaling>
        <c:delete val="0"/>
        <c:axPos val="l"/>
        <c:majorGridlines/>
        <c:title>
          <c:tx>
            <c:rich>
              <a:bodyPr rot="-5400000" vert="horz"/>
              <a:lstStyle/>
              <a:p>
                <a:pPr>
                  <a:defRPr b="0"/>
                </a:pPr>
                <a:r>
                  <a:rPr lang="en-US" b="0"/>
                  <a:t>Soil C-Organic (%)</a:t>
                </a:r>
              </a:p>
            </c:rich>
          </c:tx>
          <c:overlay val="0"/>
        </c:title>
        <c:numFmt formatCode="0.00" sourceLinked="1"/>
        <c:majorTickMark val="none"/>
        <c:minorTickMark val="none"/>
        <c:tickLblPos val="nextTo"/>
        <c:crossAx val="273734656"/>
        <c:crosses val="autoZero"/>
        <c:crossBetween val="between"/>
      </c:valAx>
    </c:plotArea>
    <c:plotVisOnly val="1"/>
    <c:dispBlanksAs val="gap"/>
    <c:showDLblsOverMax val="0"/>
  </c:chart>
  <c:spPr>
    <a:ln>
      <a:noFill/>
    </a:ln>
    <a:effectLst/>
  </c:spPr>
  <c:txPr>
    <a:bodyPr/>
    <a:lstStyle/>
    <a:p>
      <a:pPr>
        <a:defRPr baseline="0">
          <a:latin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 Total '!$B$28</c:f>
              <c:strCache>
                <c:ptCount val="1"/>
                <c:pt idx="0">
                  <c:v>nilai </c:v>
                </c:pt>
              </c:strCache>
            </c:strRef>
          </c:tx>
          <c:spPr>
            <a:ln>
              <a:solidFill>
                <a:schemeClr val="tx1"/>
              </a:solidFill>
            </a:ln>
          </c:spPr>
          <c:invertIfNegative val="0"/>
          <c:dPt>
            <c:idx val="0"/>
            <c:invertIfNegative val="0"/>
            <c:bubble3D val="0"/>
            <c:spPr>
              <a:pattFill prst="zigZag">
                <a:fgClr>
                  <a:schemeClr val="accent1"/>
                </a:fgClr>
                <a:bgClr>
                  <a:schemeClr val="bg1"/>
                </a:bgClr>
              </a:pattFill>
              <a:ln>
                <a:solidFill>
                  <a:schemeClr val="tx1"/>
                </a:solidFill>
              </a:ln>
            </c:spPr>
          </c:dPt>
          <c:dPt>
            <c:idx val="1"/>
            <c:invertIfNegative val="0"/>
            <c:bubble3D val="0"/>
            <c:spPr>
              <a:pattFill prst="dkDnDiag">
                <a:fgClr>
                  <a:schemeClr val="accent1"/>
                </a:fgClr>
                <a:bgClr>
                  <a:schemeClr val="bg1"/>
                </a:bgClr>
              </a:pattFill>
              <a:ln>
                <a:solidFill>
                  <a:schemeClr val="tx1"/>
                </a:solidFill>
              </a:ln>
            </c:spPr>
          </c:dPt>
          <c:dPt>
            <c:idx val="2"/>
            <c:invertIfNegative val="0"/>
            <c:bubble3D val="0"/>
            <c:spPr>
              <a:pattFill prst="narVert">
                <a:fgClr>
                  <a:schemeClr val="accent1"/>
                </a:fgClr>
                <a:bgClr>
                  <a:schemeClr val="bg1"/>
                </a:bgClr>
              </a:pattFill>
              <a:ln>
                <a:solidFill>
                  <a:schemeClr val="tx1"/>
                </a:solidFill>
              </a:ln>
            </c:spPr>
          </c:dPt>
          <c:dPt>
            <c:idx val="3"/>
            <c:invertIfNegative val="0"/>
            <c:bubble3D val="0"/>
            <c:spPr>
              <a:pattFill prst="dkUpDiag">
                <a:fgClr>
                  <a:schemeClr val="accent1"/>
                </a:fgClr>
                <a:bgClr>
                  <a:schemeClr val="bg1"/>
                </a:bgClr>
              </a:pattFill>
              <a:ln>
                <a:solidFill>
                  <a:schemeClr val="tx1"/>
                </a:solidFill>
              </a:ln>
            </c:spPr>
          </c:dPt>
          <c:dPt>
            <c:idx val="4"/>
            <c:invertIfNegative val="0"/>
            <c:bubble3D val="0"/>
            <c:spPr>
              <a:pattFill prst="narHorz">
                <a:fgClr>
                  <a:schemeClr val="accent1"/>
                </a:fgClr>
                <a:bgClr>
                  <a:schemeClr val="bg1"/>
                </a:bgClr>
              </a:pattFill>
              <a:ln>
                <a:solidFill>
                  <a:schemeClr val="tx1"/>
                </a:solidFill>
              </a:ln>
            </c:spPr>
          </c:dPt>
          <c:dLbls>
            <c:dLbl>
              <c:idx val="0"/>
              <c:tx>
                <c:rich>
                  <a:bodyPr/>
                  <a:lstStyle/>
                  <a:p>
                    <a:r>
                      <a:rPr lang="en-US"/>
                      <a:t>0.09 a</a:t>
                    </a:r>
                  </a:p>
                </c:rich>
              </c:tx>
              <c:dLblPos val="outEnd"/>
              <c:showLegendKey val="0"/>
              <c:showVal val="1"/>
              <c:showCatName val="0"/>
              <c:showSerName val="0"/>
              <c:showPercent val="0"/>
              <c:showBubbleSize val="0"/>
            </c:dLbl>
            <c:dLbl>
              <c:idx val="1"/>
              <c:tx>
                <c:rich>
                  <a:bodyPr/>
                  <a:lstStyle/>
                  <a:p>
                    <a:r>
                      <a:rPr lang="en-US"/>
                      <a:t>0.09 a</a:t>
                    </a:r>
                  </a:p>
                </c:rich>
              </c:tx>
              <c:dLblPos val="outEnd"/>
              <c:showLegendKey val="0"/>
              <c:showVal val="1"/>
              <c:showCatName val="0"/>
              <c:showSerName val="0"/>
              <c:showPercent val="0"/>
              <c:showBubbleSize val="0"/>
            </c:dLbl>
            <c:dLbl>
              <c:idx val="2"/>
              <c:tx>
                <c:rich>
                  <a:bodyPr/>
                  <a:lstStyle/>
                  <a:p>
                    <a:r>
                      <a:rPr lang="en-US"/>
                      <a:t>0.11 bc</a:t>
                    </a:r>
                  </a:p>
                </c:rich>
              </c:tx>
              <c:dLblPos val="outEnd"/>
              <c:showLegendKey val="0"/>
              <c:showVal val="1"/>
              <c:showCatName val="0"/>
              <c:showSerName val="0"/>
              <c:showPercent val="0"/>
              <c:showBubbleSize val="0"/>
            </c:dLbl>
            <c:dLbl>
              <c:idx val="3"/>
              <c:tx>
                <c:rich>
                  <a:bodyPr/>
                  <a:lstStyle/>
                  <a:p>
                    <a:r>
                      <a:rPr lang="en-US"/>
                      <a:t>0.12 c</a:t>
                    </a:r>
                  </a:p>
                </c:rich>
              </c:tx>
              <c:dLblPos val="outEnd"/>
              <c:showLegendKey val="0"/>
              <c:showVal val="1"/>
              <c:showCatName val="0"/>
              <c:showSerName val="0"/>
              <c:showPercent val="0"/>
              <c:showBubbleSize val="0"/>
            </c:dLbl>
            <c:dLbl>
              <c:idx val="4"/>
              <c:tx>
                <c:rich>
                  <a:bodyPr/>
                  <a:lstStyle/>
                  <a:p>
                    <a:r>
                      <a:rPr lang="en-US"/>
                      <a:t>0.10 ab</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'N Total '!$A$29:$A$33</c:f>
              <c:strCache>
                <c:ptCount val="5"/>
                <c:pt idx="0">
                  <c:v>N</c:v>
                </c:pt>
                <c:pt idx="1">
                  <c:v>LS</c:v>
                </c:pt>
                <c:pt idx="2">
                  <c:v>LH</c:v>
                </c:pt>
                <c:pt idx="3">
                  <c:v>LY</c:v>
                </c:pt>
                <c:pt idx="4">
                  <c:v>LP </c:v>
                </c:pt>
              </c:strCache>
            </c:strRef>
          </c:cat>
          <c:val>
            <c:numRef>
              <c:f>'N Total '!$B$29:$B$33</c:f>
              <c:numCache>
                <c:formatCode>0.00</c:formatCode>
                <c:ptCount val="5"/>
                <c:pt idx="0">
                  <c:v>0.09</c:v>
                </c:pt>
                <c:pt idx="1">
                  <c:v>0.09</c:v>
                </c:pt>
                <c:pt idx="2">
                  <c:v>0.11</c:v>
                </c:pt>
                <c:pt idx="3">
                  <c:v>0.12</c:v>
                </c:pt>
                <c:pt idx="4">
                  <c:v>0.1</c:v>
                </c:pt>
              </c:numCache>
            </c:numRef>
          </c:val>
        </c:ser>
        <c:ser>
          <c:idx val="1"/>
          <c:order val="1"/>
          <c:tx>
            <c:strRef>
              <c:f>'N Total '!$C$28</c:f>
              <c:strCache>
                <c:ptCount val="1"/>
                <c:pt idx="0">
                  <c:v>dmrt </c:v>
                </c:pt>
              </c:strCache>
            </c:strRef>
          </c:tx>
          <c:invertIfNegative val="0"/>
          <c:dLbls>
            <c:delete val="1"/>
          </c:dLbls>
          <c:cat>
            <c:strRef>
              <c:f>'N Total '!$A$29:$A$33</c:f>
              <c:strCache>
                <c:ptCount val="5"/>
                <c:pt idx="0">
                  <c:v>N</c:v>
                </c:pt>
                <c:pt idx="1">
                  <c:v>LS</c:v>
                </c:pt>
                <c:pt idx="2">
                  <c:v>LH</c:v>
                </c:pt>
                <c:pt idx="3">
                  <c:v>LY</c:v>
                </c:pt>
                <c:pt idx="4">
                  <c:v>LP </c:v>
                </c:pt>
              </c:strCache>
            </c:strRef>
          </c:cat>
          <c:val>
            <c:numRef>
              <c:f>'N Total '!$C$29:$C$33</c:f>
              <c:numCache>
                <c:formatCode>General</c:formatCode>
                <c:ptCount val="5"/>
                <c:pt idx="0">
                  <c:v>0</c:v>
                </c:pt>
                <c:pt idx="1">
                  <c:v>0</c:v>
                </c:pt>
                <c:pt idx="2">
                  <c:v>0</c:v>
                </c:pt>
                <c:pt idx="3">
                  <c:v>0</c:v>
                </c:pt>
                <c:pt idx="4">
                  <c:v>0</c:v>
                </c:pt>
              </c:numCache>
            </c:numRef>
          </c:val>
        </c:ser>
        <c:dLbls>
          <c:dLblPos val="outEnd"/>
          <c:showLegendKey val="0"/>
          <c:showVal val="1"/>
          <c:showCatName val="0"/>
          <c:showSerName val="0"/>
          <c:showPercent val="0"/>
          <c:showBubbleSize val="0"/>
        </c:dLbls>
        <c:gapWidth val="154"/>
        <c:overlap val="94"/>
        <c:axId val="273638144"/>
        <c:axId val="273640064"/>
      </c:barChart>
      <c:catAx>
        <c:axId val="273638144"/>
        <c:scaling>
          <c:orientation val="minMax"/>
        </c:scaling>
        <c:delete val="0"/>
        <c:axPos val="b"/>
        <c:title>
          <c:tx>
            <c:rich>
              <a:bodyPr/>
              <a:lstStyle/>
              <a:p>
                <a:pPr>
                  <a:defRPr b="0"/>
                </a:pPr>
                <a:r>
                  <a:rPr lang="en-US" b="0"/>
                  <a:t>Treatments</a:t>
                </a:r>
                <a:r>
                  <a:rPr lang="en-US" b="0" baseline="0"/>
                  <a:t> </a:t>
                </a:r>
                <a:endParaRPr lang="en-US" b="0"/>
              </a:p>
            </c:rich>
          </c:tx>
          <c:overlay val="0"/>
        </c:title>
        <c:majorTickMark val="out"/>
        <c:minorTickMark val="none"/>
        <c:tickLblPos val="nextTo"/>
        <c:crossAx val="273640064"/>
        <c:crosses val="autoZero"/>
        <c:auto val="1"/>
        <c:lblAlgn val="ctr"/>
        <c:lblOffset val="100"/>
        <c:noMultiLvlLbl val="0"/>
      </c:catAx>
      <c:valAx>
        <c:axId val="273640064"/>
        <c:scaling>
          <c:orientation val="minMax"/>
          <c:min val="6.2499999999999995E-3"/>
        </c:scaling>
        <c:delete val="0"/>
        <c:axPos val="l"/>
        <c:majorGridlines/>
        <c:title>
          <c:tx>
            <c:rich>
              <a:bodyPr rot="-5400000" vert="horz"/>
              <a:lstStyle/>
              <a:p>
                <a:pPr>
                  <a:defRPr b="0"/>
                </a:pPr>
                <a:r>
                  <a:rPr lang="en-US" b="0"/>
                  <a:t>Soil N-Total</a:t>
                </a:r>
                <a:r>
                  <a:rPr lang="en-US" b="0" baseline="0"/>
                  <a:t>  (%)</a:t>
                </a:r>
                <a:endParaRPr lang="en-US" b="0"/>
              </a:p>
            </c:rich>
          </c:tx>
          <c:overlay val="0"/>
        </c:title>
        <c:numFmt formatCode="0.00" sourceLinked="1"/>
        <c:majorTickMark val="out"/>
        <c:minorTickMark val="none"/>
        <c:tickLblPos val="nextTo"/>
        <c:crossAx val="273638144"/>
        <c:crosses val="autoZero"/>
        <c:crossBetween val="between"/>
      </c:valAx>
    </c:plotArea>
    <c:plotVisOnly val="1"/>
    <c:dispBlanksAs val="gap"/>
    <c:showDLblsOverMax val="0"/>
  </c:chart>
  <c:spPr>
    <a:ln>
      <a:noFill/>
    </a:ln>
    <a:effectLst/>
  </c:spPr>
  <c:txPr>
    <a:bodyPr/>
    <a:lstStyle/>
    <a:p>
      <a:pPr>
        <a:defRPr baseline="0">
          <a:latin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 Tersedia '!$C$41</c:f>
              <c:strCache>
                <c:ptCount val="1"/>
                <c:pt idx="0">
                  <c:v>nilai</c:v>
                </c:pt>
              </c:strCache>
            </c:strRef>
          </c:tx>
          <c:spPr>
            <a:ln>
              <a:solidFill>
                <a:schemeClr val="tx1"/>
              </a:solidFill>
            </a:ln>
          </c:spPr>
          <c:invertIfNegative val="0"/>
          <c:dPt>
            <c:idx val="0"/>
            <c:invertIfNegative val="0"/>
            <c:bubble3D val="0"/>
            <c:spPr>
              <a:pattFill prst="zigZag">
                <a:fgClr>
                  <a:schemeClr val="accent1"/>
                </a:fgClr>
                <a:bgClr>
                  <a:schemeClr val="bg1"/>
                </a:bgClr>
              </a:pattFill>
              <a:ln>
                <a:solidFill>
                  <a:schemeClr val="tx1"/>
                </a:solidFill>
              </a:ln>
            </c:spPr>
          </c:dPt>
          <c:dPt>
            <c:idx val="1"/>
            <c:invertIfNegative val="0"/>
            <c:bubble3D val="0"/>
            <c:spPr>
              <a:pattFill prst="dkDnDiag">
                <a:fgClr>
                  <a:schemeClr val="accent1"/>
                </a:fgClr>
                <a:bgClr>
                  <a:schemeClr val="bg1"/>
                </a:bgClr>
              </a:pattFill>
              <a:ln>
                <a:solidFill>
                  <a:schemeClr val="tx1"/>
                </a:solidFill>
              </a:ln>
            </c:spPr>
          </c:dPt>
          <c:dPt>
            <c:idx val="2"/>
            <c:invertIfNegative val="0"/>
            <c:bubble3D val="0"/>
            <c:spPr>
              <a:pattFill prst="narVert">
                <a:fgClr>
                  <a:schemeClr val="accent1"/>
                </a:fgClr>
                <a:bgClr>
                  <a:schemeClr val="bg1"/>
                </a:bgClr>
              </a:pattFill>
              <a:ln>
                <a:solidFill>
                  <a:schemeClr val="tx1"/>
                </a:solidFill>
              </a:ln>
            </c:spPr>
          </c:dPt>
          <c:dPt>
            <c:idx val="3"/>
            <c:invertIfNegative val="0"/>
            <c:bubble3D val="0"/>
            <c:spPr>
              <a:pattFill prst="dkUpDiag">
                <a:fgClr>
                  <a:schemeClr val="accent1"/>
                </a:fgClr>
                <a:bgClr>
                  <a:schemeClr val="bg1"/>
                </a:bgClr>
              </a:pattFill>
              <a:ln>
                <a:solidFill>
                  <a:schemeClr val="tx1"/>
                </a:solidFill>
              </a:ln>
            </c:spPr>
          </c:dPt>
          <c:dPt>
            <c:idx val="4"/>
            <c:invertIfNegative val="0"/>
            <c:bubble3D val="0"/>
            <c:spPr>
              <a:pattFill prst="narHorz">
                <a:fgClr>
                  <a:schemeClr val="accent1"/>
                </a:fgClr>
                <a:bgClr>
                  <a:schemeClr val="bg1"/>
                </a:bgClr>
              </a:pattFill>
              <a:ln>
                <a:solidFill>
                  <a:schemeClr val="tx1"/>
                </a:solidFill>
              </a:ln>
            </c:spPr>
          </c:dPt>
          <c:dLbls>
            <c:dLbl>
              <c:idx val="0"/>
              <c:tx>
                <c:rich>
                  <a:bodyPr/>
                  <a:lstStyle/>
                  <a:p>
                    <a:r>
                      <a:rPr lang="en-US"/>
                      <a:t>2.16</a:t>
                    </a:r>
                    <a:r>
                      <a:rPr lang="en-US" baseline="0"/>
                      <a:t> a</a:t>
                    </a:r>
                    <a:endParaRPr lang="en-US"/>
                  </a:p>
                </c:rich>
              </c:tx>
              <c:dLblPos val="outEnd"/>
              <c:showLegendKey val="0"/>
              <c:showVal val="1"/>
              <c:showCatName val="0"/>
              <c:showSerName val="0"/>
              <c:showPercent val="0"/>
              <c:showBubbleSize val="0"/>
            </c:dLbl>
            <c:dLbl>
              <c:idx val="1"/>
              <c:tx>
                <c:rich>
                  <a:bodyPr/>
                  <a:lstStyle/>
                  <a:p>
                    <a:r>
                      <a:rPr lang="en-US"/>
                      <a:t>2.25</a:t>
                    </a:r>
                    <a:r>
                      <a:rPr lang="en-US" baseline="0"/>
                      <a:t> b</a:t>
                    </a:r>
                    <a:endParaRPr lang="en-US"/>
                  </a:p>
                </c:rich>
              </c:tx>
              <c:dLblPos val="outEnd"/>
              <c:showLegendKey val="0"/>
              <c:showVal val="1"/>
              <c:showCatName val="0"/>
              <c:showSerName val="0"/>
              <c:showPercent val="0"/>
              <c:showBubbleSize val="0"/>
            </c:dLbl>
            <c:dLbl>
              <c:idx val="2"/>
              <c:tx>
                <c:rich>
                  <a:bodyPr/>
                  <a:lstStyle/>
                  <a:p>
                    <a:r>
                      <a:rPr lang="en-US"/>
                      <a:t>2.32</a:t>
                    </a:r>
                    <a:r>
                      <a:rPr lang="en-US" baseline="0"/>
                      <a:t> c</a:t>
                    </a:r>
                    <a:endParaRPr lang="en-US"/>
                  </a:p>
                </c:rich>
              </c:tx>
              <c:dLblPos val="outEnd"/>
              <c:showLegendKey val="0"/>
              <c:showVal val="1"/>
              <c:showCatName val="0"/>
              <c:showSerName val="0"/>
              <c:showPercent val="0"/>
              <c:showBubbleSize val="0"/>
            </c:dLbl>
            <c:dLbl>
              <c:idx val="3"/>
              <c:tx>
                <c:rich>
                  <a:bodyPr/>
                  <a:lstStyle/>
                  <a:p>
                    <a:r>
                      <a:rPr lang="en-US"/>
                      <a:t>2.55</a:t>
                    </a:r>
                    <a:r>
                      <a:rPr lang="en-US" baseline="0"/>
                      <a:t> d</a:t>
                    </a:r>
                    <a:endParaRPr lang="en-US"/>
                  </a:p>
                </c:rich>
              </c:tx>
              <c:dLblPos val="outEnd"/>
              <c:showLegendKey val="0"/>
              <c:showVal val="1"/>
              <c:showCatName val="0"/>
              <c:showSerName val="0"/>
              <c:showPercent val="0"/>
              <c:showBubbleSize val="0"/>
            </c:dLbl>
            <c:dLbl>
              <c:idx val="4"/>
              <c:tx>
                <c:rich>
                  <a:bodyPr/>
                  <a:lstStyle/>
                  <a:p>
                    <a:r>
                      <a:rPr lang="en-US"/>
                      <a:t>2.33 c</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'P Tersedia '!$B$42:$B$46</c:f>
              <c:strCache>
                <c:ptCount val="5"/>
                <c:pt idx="0">
                  <c:v>N</c:v>
                </c:pt>
                <c:pt idx="1">
                  <c:v>LS</c:v>
                </c:pt>
                <c:pt idx="2">
                  <c:v>LH</c:v>
                </c:pt>
                <c:pt idx="3">
                  <c:v>LY</c:v>
                </c:pt>
                <c:pt idx="4">
                  <c:v>LP</c:v>
                </c:pt>
              </c:strCache>
            </c:strRef>
          </c:cat>
          <c:val>
            <c:numRef>
              <c:f>'P Tersedia '!$C$42:$C$46</c:f>
              <c:numCache>
                <c:formatCode>0.00</c:formatCode>
                <c:ptCount val="5"/>
                <c:pt idx="0">
                  <c:v>2.16</c:v>
                </c:pt>
                <c:pt idx="1">
                  <c:v>2.25</c:v>
                </c:pt>
                <c:pt idx="2">
                  <c:v>2.3199999999999998</c:v>
                </c:pt>
                <c:pt idx="3">
                  <c:v>2.5499999999999998</c:v>
                </c:pt>
                <c:pt idx="4">
                  <c:v>2.33</c:v>
                </c:pt>
              </c:numCache>
            </c:numRef>
          </c:val>
        </c:ser>
        <c:ser>
          <c:idx val="1"/>
          <c:order val="1"/>
          <c:tx>
            <c:strRef>
              <c:f>'P Tersedia '!$D$41</c:f>
              <c:strCache>
                <c:ptCount val="1"/>
                <c:pt idx="0">
                  <c:v>dmrt</c:v>
                </c:pt>
              </c:strCache>
            </c:strRef>
          </c:tx>
          <c:invertIfNegative val="0"/>
          <c:dLbls>
            <c:delete val="1"/>
          </c:dLbls>
          <c:cat>
            <c:strRef>
              <c:f>'P Tersedia '!$B$42:$B$46</c:f>
              <c:strCache>
                <c:ptCount val="5"/>
                <c:pt idx="0">
                  <c:v>N</c:v>
                </c:pt>
                <c:pt idx="1">
                  <c:v>LS</c:v>
                </c:pt>
                <c:pt idx="2">
                  <c:v>LH</c:v>
                </c:pt>
                <c:pt idx="3">
                  <c:v>LY</c:v>
                </c:pt>
                <c:pt idx="4">
                  <c:v>LP</c:v>
                </c:pt>
              </c:strCache>
            </c:strRef>
          </c:cat>
          <c:val>
            <c:numRef>
              <c:f>'P Tersedia '!$D$42:$D$46</c:f>
              <c:numCache>
                <c:formatCode>General</c:formatCode>
                <c:ptCount val="5"/>
                <c:pt idx="0">
                  <c:v>0</c:v>
                </c:pt>
                <c:pt idx="1">
                  <c:v>0</c:v>
                </c:pt>
                <c:pt idx="2">
                  <c:v>0</c:v>
                </c:pt>
                <c:pt idx="3">
                  <c:v>0</c:v>
                </c:pt>
                <c:pt idx="4">
                  <c:v>0</c:v>
                </c:pt>
              </c:numCache>
            </c:numRef>
          </c:val>
        </c:ser>
        <c:dLbls>
          <c:dLblPos val="outEnd"/>
          <c:showLegendKey val="0"/>
          <c:showVal val="1"/>
          <c:showCatName val="0"/>
          <c:showSerName val="0"/>
          <c:showPercent val="0"/>
          <c:showBubbleSize val="0"/>
        </c:dLbls>
        <c:gapWidth val="154"/>
        <c:overlap val="95"/>
        <c:axId val="273675776"/>
        <c:axId val="273677696"/>
      </c:barChart>
      <c:catAx>
        <c:axId val="273675776"/>
        <c:scaling>
          <c:orientation val="minMax"/>
        </c:scaling>
        <c:delete val="0"/>
        <c:axPos val="b"/>
        <c:title>
          <c:tx>
            <c:rich>
              <a:bodyPr/>
              <a:lstStyle/>
              <a:p>
                <a:pPr>
                  <a:defRPr b="0"/>
                </a:pPr>
                <a:r>
                  <a:rPr lang="en-US" b="0"/>
                  <a:t>Treatments</a:t>
                </a:r>
                <a:r>
                  <a:rPr lang="en-US" b="0" baseline="0"/>
                  <a:t> </a:t>
                </a:r>
                <a:endParaRPr lang="en-US" b="0"/>
              </a:p>
            </c:rich>
          </c:tx>
          <c:overlay val="0"/>
        </c:title>
        <c:majorTickMark val="out"/>
        <c:minorTickMark val="none"/>
        <c:tickLblPos val="nextTo"/>
        <c:crossAx val="273677696"/>
        <c:crosses val="autoZero"/>
        <c:auto val="1"/>
        <c:lblAlgn val="ctr"/>
        <c:lblOffset val="100"/>
        <c:noMultiLvlLbl val="0"/>
      </c:catAx>
      <c:valAx>
        <c:axId val="273677696"/>
        <c:scaling>
          <c:orientation val="minMax"/>
          <c:min val="2"/>
        </c:scaling>
        <c:delete val="0"/>
        <c:axPos val="l"/>
        <c:majorGridlines/>
        <c:title>
          <c:tx>
            <c:rich>
              <a:bodyPr rot="-5400000" vert="horz"/>
              <a:lstStyle/>
              <a:p>
                <a:pPr>
                  <a:defRPr b="0"/>
                </a:pPr>
                <a:r>
                  <a:rPr lang="en-US" b="0"/>
                  <a:t>Soil P-Avalable (ppm)</a:t>
                </a:r>
              </a:p>
            </c:rich>
          </c:tx>
          <c:overlay val="0"/>
        </c:title>
        <c:numFmt formatCode="0.00" sourceLinked="1"/>
        <c:majorTickMark val="none"/>
        <c:minorTickMark val="none"/>
        <c:tickLblPos val="nextTo"/>
        <c:crossAx val="273675776"/>
        <c:crosses val="autoZero"/>
        <c:crossBetween val="between"/>
      </c:valAx>
    </c:plotArea>
    <c:plotVisOnly val="1"/>
    <c:dispBlanksAs val="gap"/>
    <c:showDLblsOverMax val="0"/>
  </c:chart>
  <c:spPr>
    <a:ln>
      <a:noFill/>
    </a:ln>
    <a:effectLst/>
  </c:spPr>
  <c:txPr>
    <a:bodyPr/>
    <a:lstStyle/>
    <a:p>
      <a:pPr>
        <a:defRPr baseline="0">
          <a:latin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'K Tersedia '!$B$31</c:f>
              <c:strCache>
                <c:ptCount val="1"/>
                <c:pt idx="0">
                  <c:v>nila </c:v>
                </c:pt>
              </c:strCache>
            </c:strRef>
          </c:tx>
          <c:spPr>
            <a:ln>
              <a:solidFill>
                <a:schemeClr val="tx1"/>
              </a:solidFill>
            </a:ln>
          </c:spPr>
          <c:invertIfNegative val="0"/>
          <c:dPt>
            <c:idx val="0"/>
            <c:invertIfNegative val="0"/>
            <c:bubble3D val="0"/>
            <c:spPr>
              <a:pattFill prst="zigZag">
                <a:fgClr>
                  <a:schemeClr val="accent1"/>
                </a:fgClr>
                <a:bgClr>
                  <a:schemeClr val="bg1"/>
                </a:bgClr>
              </a:pattFill>
              <a:ln>
                <a:solidFill>
                  <a:schemeClr val="tx1"/>
                </a:solidFill>
              </a:ln>
            </c:spPr>
          </c:dPt>
          <c:dPt>
            <c:idx val="1"/>
            <c:invertIfNegative val="0"/>
            <c:bubble3D val="0"/>
            <c:spPr>
              <a:pattFill prst="dkDnDiag">
                <a:fgClr>
                  <a:schemeClr val="accent1"/>
                </a:fgClr>
                <a:bgClr>
                  <a:schemeClr val="bg1"/>
                </a:bgClr>
              </a:pattFill>
              <a:ln>
                <a:solidFill>
                  <a:schemeClr val="tx1"/>
                </a:solidFill>
              </a:ln>
            </c:spPr>
          </c:dPt>
          <c:dPt>
            <c:idx val="2"/>
            <c:invertIfNegative val="0"/>
            <c:bubble3D val="0"/>
            <c:spPr>
              <a:pattFill prst="narVert">
                <a:fgClr>
                  <a:schemeClr val="accent1"/>
                </a:fgClr>
                <a:bgClr>
                  <a:schemeClr val="bg1"/>
                </a:bgClr>
              </a:pattFill>
              <a:ln>
                <a:solidFill>
                  <a:schemeClr val="tx1"/>
                </a:solidFill>
              </a:ln>
            </c:spPr>
          </c:dPt>
          <c:dPt>
            <c:idx val="3"/>
            <c:invertIfNegative val="0"/>
            <c:bubble3D val="0"/>
            <c:spPr>
              <a:pattFill prst="dkUpDiag">
                <a:fgClr>
                  <a:schemeClr val="accent1"/>
                </a:fgClr>
                <a:bgClr>
                  <a:schemeClr val="bg1"/>
                </a:bgClr>
              </a:pattFill>
              <a:ln>
                <a:solidFill>
                  <a:schemeClr val="tx1"/>
                </a:solidFill>
              </a:ln>
            </c:spPr>
          </c:dPt>
          <c:dPt>
            <c:idx val="4"/>
            <c:invertIfNegative val="0"/>
            <c:bubble3D val="0"/>
            <c:spPr>
              <a:pattFill prst="narHorz">
                <a:fgClr>
                  <a:schemeClr val="accent1"/>
                </a:fgClr>
                <a:bgClr>
                  <a:schemeClr val="bg1"/>
                </a:bgClr>
              </a:pattFill>
              <a:ln>
                <a:solidFill>
                  <a:schemeClr val="tx1"/>
                </a:solidFill>
              </a:ln>
            </c:spPr>
          </c:dPt>
          <c:dLbls>
            <c:dLbl>
              <c:idx val="0"/>
              <c:tx>
                <c:rich>
                  <a:bodyPr/>
                  <a:lstStyle/>
                  <a:p>
                    <a:r>
                      <a:rPr lang="en-US"/>
                      <a:t>0.21 a</a:t>
                    </a:r>
                  </a:p>
                </c:rich>
              </c:tx>
              <c:dLblPos val="outEnd"/>
              <c:showLegendKey val="0"/>
              <c:showVal val="1"/>
              <c:showCatName val="0"/>
              <c:showSerName val="0"/>
              <c:showPercent val="0"/>
              <c:showBubbleSize val="0"/>
            </c:dLbl>
            <c:dLbl>
              <c:idx val="1"/>
              <c:tx>
                <c:rich>
                  <a:bodyPr/>
                  <a:lstStyle/>
                  <a:p>
                    <a:r>
                      <a:rPr lang="en-US"/>
                      <a:t>0.25 b</a:t>
                    </a:r>
                  </a:p>
                </c:rich>
              </c:tx>
              <c:dLblPos val="outEnd"/>
              <c:showLegendKey val="0"/>
              <c:showVal val="1"/>
              <c:showCatName val="0"/>
              <c:showSerName val="0"/>
              <c:showPercent val="0"/>
              <c:showBubbleSize val="0"/>
            </c:dLbl>
            <c:dLbl>
              <c:idx val="2"/>
              <c:tx>
                <c:rich>
                  <a:bodyPr/>
                  <a:lstStyle/>
                  <a:p>
                    <a:r>
                      <a:rPr lang="en-US"/>
                      <a:t>0.30 c</a:t>
                    </a:r>
                  </a:p>
                </c:rich>
              </c:tx>
              <c:dLblPos val="outEnd"/>
              <c:showLegendKey val="0"/>
              <c:showVal val="1"/>
              <c:showCatName val="0"/>
              <c:showSerName val="0"/>
              <c:showPercent val="0"/>
              <c:showBubbleSize val="0"/>
            </c:dLbl>
            <c:dLbl>
              <c:idx val="3"/>
              <c:tx>
                <c:rich>
                  <a:bodyPr/>
                  <a:lstStyle/>
                  <a:p>
                    <a:r>
                      <a:rPr lang="en-US"/>
                      <a:t>0.27 bc</a:t>
                    </a:r>
                  </a:p>
                </c:rich>
              </c:tx>
              <c:dLblPos val="outEnd"/>
              <c:showLegendKey val="0"/>
              <c:showVal val="1"/>
              <c:showCatName val="0"/>
              <c:showSerName val="0"/>
              <c:showPercent val="0"/>
              <c:showBubbleSize val="0"/>
            </c:dLbl>
            <c:dLbl>
              <c:idx val="4"/>
              <c:tx>
                <c:rich>
                  <a:bodyPr/>
                  <a:lstStyle/>
                  <a:p>
                    <a:r>
                      <a:rPr lang="en-US"/>
                      <a:t>0.28 bc</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'K Tersedia '!$A$32:$A$36</c:f>
              <c:strCache>
                <c:ptCount val="5"/>
                <c:pt idx="0">
                  <c:v>N</c:v>
                </c:pt>
                <c:pt idx="1">
                  <c:v>LS</c:v>
                </c:pt>
                <c:pt idx="2">
                  <c:v>LH</c:v>
                </c:pt>
                <c:pt idx="3">
                  <c:v>LY</c:v>
                </c:pt>
                <c:pt idx="4">
                  <c:v>LP</c:v>
                </c:pt>
              </c:strCache>
            </c:strRef>
          </c:cat>
          <c:val>
            <c:numRef>
              <c:f>'K Tersedia '!$B$32:$B$36</c:f>
              <c:numCache>
                <c:formatCode>0.00</c:formatCode>
                <c:ptCount val="5"/>
                <c:pt idx="0">
                  <c:v>0.21</c:v>
                </c:pt>
                <c:pt idx="1">
                  <c:v>0.25</c:v>
                </c:pt>
                <c:pt idx="2">
                  <c:v>0.3</c:v>
                </c:pt>
                <c:pt idx="3">
                  <c:v>0.27</c:v>
                </c:pt>
                <c:pt idx="4">
                  <c:v>0.28000000000000003</c:v>
                </c:pt>
              </c:numCache>
            </c:numRef>
          </c:val>
        </c:ser>
        <c:ser>
          <c:idx val="1"/>
          <c:order val="1"/>
          <c:tx>
            <c:strRef>
              <c:f>'K Tersedia '!$C$31</c:f>
              <c:strCache>
                <c:ptCount val="1"/>
                <c:pt idx="0">
                  <c:v>dmrt</c:v>
                </c:pt>
              </c:strCache>
            </c:strRef>
          </c:tx>
          <c:invertIfNegative val="0"/>
          <c:dLbls>
            <c:delete val="1"/>
          </c:dLbls>
          <c:cat>
            <c:strRef>
              <c:f>'K Tersedia '!$A$32:$A$36</c:f>
              <c:strCache>
                <c:ptCount val="5"/>
                <c:pt idx="0">
                  <c:v>N</c:v>
                </c:pt>
                <c:pt idx="1">
                  <c:v>LS</c:v>
                </c:pt>
                <c:pt idx="2">
                  <c:v>LH</c:v>
                </c:pt>
                <c:pt idx="3">
                  <c:v>LY</c:v>
                </c:pt>
                <c:pt idx="4">
                  <c:v>LP</c:v>
                </c:pt>
              </c:strCache>
            </c:strRef>
          </c:cat>
          <c:val>
            <c:numRef>
              <c:f>'K Tersedia '!$C$32:$C$36</c:f>
              <c:numCache>
                <c:formatCode>General</c:formatCode>
                <c:ptCount val="5"/>
                <c:pt idx="0">
                  <c:v>0</c:v>
                </c:pt>
                <c:pt idx="1">
                  <c:v>0</c:v>
                </c:pt>
                <c:pt idx="2">
                  <c:v>0</c:v>
                </c:pt>
                <c:pt idx="3">
                  <c:v>0</c:v>
                </c:pt>
                <c:pt idx="4">
                  <c:v>0</c:v>
                </c:pt>
              </c:numCache>
            </c:numRef>
          </c:val>
        </c:ser>
        <c:dLbls>
          <c:dLblPos val="outEnd"/>
          <c:showLegendKey val="0"/>
          <c:showVal val="1"/>
          <c:showCatName val="0"/>
          <c:showSerName val="0"/>
          <c:showPercent val="0"/>
          <c:showBubbleSize val="0"/>
        </c:dLbls>
        <c:gapWidth val="154"/>
        <c:overlap val="93"/>
        <c:axId val="282683648"/>
        <c:axId val="282689920"/>
      </c:barChart>
      <c:catAx>
        <c:axId val="282683648"/>
        <c:scaling>
          <c:orientation val="minMax"/>
        </c:scaling>
        <c:delete val="0"/>
        <c:axPos val="b"/>
        <c:title>
          <c:tx>
            <c:rich>
              <a:bodyPr/>
              <a:lstStyle/>
              <a:p>
                <a:pPr>
                  <a:defRPr b="0"/>
                </a:pPr>
                <a:r>
                  <a:rPr lang="en-US" b="0" baseline="0"/>
                  <a:t>Treatments  </a:t>
                </a:r>
                <a:endParaRPr lang="en-US" b="0"/>
              </a:p>
            </c:rich>
          </c:tx>
          <c:overlay val="0"/>
        </c:title>
        <c:majorTickMark val="out"/>
        <c:minorTickMark val="none"/>
        <c:tickLblPos val="nextTo"/>
        <c:crossAx val="282689920"/>
        <c:crosses val="autoZero"/>
        <c:auto val="1"/>
        <c:lblAlgn val="ctr"/>
        <c:lblOffset val="100"/>
        <c:noMultiLvlLbl val="0"/>
      </c:catAx>
      <c:valAx>
        <c:axId val="282689920"/>
        <c:scaling>
          <c:orientation val="minMax"/>
          <c:min val="1.3888888888888889E-3"/>
        </c:scaling>
        <c:delete val="0"/>
        <c:axPos val="l"/>
        <c:majorGridlines/>
        <c:title>
          <c:tx>
            <c:rich>
              <a:bodyPr rot="-5400000" vert="horz"/>
              <a:lstStyle/>
              <a:p>
                <a:pPr>
                  <a:defRPr b="0"/>
                </a:pPr>
                <a:r>
                  <a:rPr lang="en-US" b="0"/>
                  <a:t>Soil K-Available</a:t>
                </a:r>
                <a:r>
                  <a:rPr lang="en-US" b="0" baseline="0"/>
                  <a:t> (Cmol/kg)</a:t>
                </a:r>
                <a:endParaRPr lang="en-US" b="0"/>
              </a:p>
            </c:rich>
          </c:tx>
          <c:overlay val="0"/>
        </c:title>
        <c:numFmt formatCode="0.00" sourceLinked="1"/>
        <c:majorTickMark val="none"/>
        <c:minorTickMark val="none"/>
        <c:tickLblPos val="nextTo"/>
        <c:crossAx val="282683648"/>
        <c:crosses val="autoZero"/>
        <c:crossBetween val="between"/>
        <c:majorUnit val="0.1"/>
        <c:minorUnit val="2.0000000000000004E-2"/>
      </c:valAx>
    </c:plotArea>
    <c:plotVisOnly val="1"/>
    <c:dispBlanksAs val="gap"/>
    <c:showDLblsOverMax val="0"/>
  </c:chart>
  <c:spPr>
    <a:ln>
      <a:noFill/>
    </a:ln>
    <a:effectLst/>
  </c:spPr>
  <c:txPr>
    <a:bodyPr/>
    <a:lstStyle/>
    <a:p>
      <a:pPr>
        <a:defRPr baseline="0">
          <a:latin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Panen!$V$3</c:f>
              <c:strCache>
                <c:ptCount val="1"/>
                <c:pt idx="0">
                  <c:v>nilai </c:v>
                </c:pt>
              </c:strCache>
            </c:strRef>
          </c:tx>
          <c:invertIfNegative val="0"/>
          <c:dPt>
            <c:idx val="0"/>
            <c:invertIfNegative val="0"/>
            <c:bubble3D val="0"/>
            <c:spPr>
              <a:pattFill prst="zigZag">
                <a:fgClr>
                  <a:schemeClr val="accent1"/>
                </a:fgClr>
                <a:bgClr>
                  <a:schemeClr val="bg1"/>
                </a:bgClr>
              </a:pattFill>
              <a:ln>
                <a:solidFill>
                  <a:schemeClr val="tx1"/>
                </a:solidFill>
              </a:ln>
            </c:spPr>
          </c:dPt>
          <c:dPt>
            <c:idx val="1"/>
            <c:invertIfNegative val="0"/>
            <c:bubble3D val="0"/>
            <c:spPr>
              <a:pattFill prst="dkDnDiag">
                <a:fgClr>
                  <a:schemeClr val="accent1"/>
                </a:fgClr>
                <a:bgClr>
                  <a:schemeClr val="bg1"/>
                </a:bgClr>
              </a:pattFill>
              <a:ln>
                <a:solidFill>
                  <a:schemeClr val="tx1"/>
                </a:solidFill>
              </a:ln>
            </c:spPr>
          </c:dPt>
          <c:dPt>
            <c:idx val="2"/>
            <c:invertIfNegative val="0"/>
            <c:bubble3D val="0"/>
            <c:spPr>
              <a:pattFill prst="narVert">
                <a:fgClr>
                  <a:schemeClr val="accent1"/>
                </a:fgClr>
                <a:bgClr>
                  <a:schemeClr val="bg1"/>
                </a:bgClr>
              </a:pattFill>
              <a:ln>
                <a:solidFill>
                  <a:schemeClr val="tx1"/>
                </a:solidFill>
              </a:ln>
            </c:spPr>
          </c:dPt>
          <c:dPt>
            <c:idx val="3"/>
            <c:invertIfNegative val="0"/>
            <c:bubble3D val="0"/>
            <c:spPr>
              <a:pattFill prst="dkUpDiag">
                <a:fgClr>
                  <a:schemeClr val="accent1"/>
                </a:fgClr>
                <a:bgClr>
                  <a:schemeClr val="bg1"/>
                </a:bgClr>
              </a:pattFill>
              <a:ln>
                <a:solidFill>
                  <a:schemeClr val="tx1"/>
                </a:solidFill>
              </a:ln>
            </c:spPr>
          </c:dPt>
          <c:dPt>
            <c:idx val="4"/>
            <c:invertIfNegative val="0"/>
            <c:bubble3D val="0"/>
            <c:spPr>
              <a:pattFill prst="narHorz">
                <a:fgClr>
                  <a:schemeClr val="accent1"/>
                </a:fgClr>
                <a:bgClr>
                  <a:schemeClr val="bg1"/>
                </a:bgClr>
              </a:pattFill>
              <a:ln>
                <a:solidFill>
                  <a:schemeClr val="tx1"/>
                </a:solidFill>
              </a:ln>
            </c:spPr>
          </c:dPt>
          <c:dLbls>
            <c:dLbl>
              <c:idx val="0"/>
              <c:tx>
                <c:rich>
                  <a:bodyPr/>
                  <a:lstStyle/>
                  <a:p>
                    <a:r>
                      <a:rPr lang="en-US"/>
                      <a:t>20 a</a:t>
                    </a:r>
                  </a:p>
                </c:rich>
              </c:tx>
              <c:dLblPos val="outEnd"/>
              <c:showLegendKey val="0"/>
              <c:showVal val="1"/>
              <c:showCatName val="0"/>
              <c:showSerName val="0"/>
              <c:showPercent val="0"/>
              <c:showBubbleSize val="0"/>
            </c:dLbl>
            <c:dLbl>
              <c:idx val="1"/>
              <c:tx>
                <c:rich>
                  <a:bodyPr/>
                  <a:lstStyle/>
                  <a:p>
                    <a:r>
                      <a:rPr lang="en-US"/>
                      <a:t>20 a</a:t>
                    </a:r>
                  </a:p>
                </c:rich>
              </c:tx>
              <c:dLblPos val="outEnd"/>
              <c:showLegendKey val="0"/>
              <c:showVal val="1"/>
              <c:showCatName val="0"/>
              <c:showSerName val="0"/>
              <c:showPercent val="0"/>
              <c:showBubbleSize val="0"/>
            </c:dLbl>
            <c:dLbl>
              <c:idx val="2"/>
              <c:tx>
                <c:rich>
                  <a:bodyPr/>
                  <a:lstStyle/>
                  <a:p>
                    <a:r>
                      <a:rPr lang="en-US"/>
                      <a:t>27 c</a:t>
                    </a:r>
                  </a:p>
                </c:rich>
              </c:tx>
              <c:dLblPos val="outEnd"/>
              <c:showLegendKey val="0"/>
              <c:showVal val="1"/>
              <c:showCatName val="0"/>
              <c:showSerName val="0"/>
              <c:showPercent val="0"/>
              <c:showBubbleSize val="0"/>
            </c:dLbl>
            <c:dLbl>
              <c:idx val="3"/>
              <c:tx>
                <c:rich>
                  <a:bodyPr/>
                  <a:lstStyle/>
                  <a:p>
                    <a:r>
                      <a:rPr lang="en-US"/>
                      <a:t>25 bc</a:t>
                    </a:r>
                  </a:p>
                </c:rich>
              </c:tx>
              <c:dLblPos val="outEnd"/>
              <c:showLegendKey val="0"/>
              <c:showVal val="1"/>
              <c:showCatName val="0"/>
              <c:showSerName val="0"/>
              <c:showPercent val="0"/>
              <c:showBubbleSize val="0"/>
            </c:dLbl>
            <c:dLbl>
              <c:idx val="4"/>
              <c:tx>
                <c:rich>
                  <a:bodyPr/>
                  <a:lstStyle/>
                  <a:p>
                    <a:r>
                      <a:rPr lang="en-US"/>
                      <a:t>22 ab</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Panen!$U$4:$U$8</c:f>
              <c:strCache>
                <c:ptCount val="5"/>
                <c:pt idx="0">
                  <c:v>N</c:v>
                </c:pt>
                <c:pt idx="1">
                  <c:v>LS</c:v>
                </c:pt>
                <c:pt idx="2">
                  <c:v>LH</c:v>
                </c:pt>
                <c:pt idx="3">
                  <c:v>LY</c:v>
                </c:pt>
                <c:pt idx="4">
                  <c:v>LP</c:v>
                </c:pt>
              </c:strCache>
            </c:strRef>
          </c:cat>
          <c:val>
            <c:numRef>
              <c:f>Panen!$V$4:$V$8</c:f>
              <c:numCache>
                <c:formatCode>General</c:formatCode>
                <c:ptCount val="5"/>
                <c:pt idx="0">
                  <c:v>20</c:v>
                </c:pt>
                <c:pt idx="1">
                  <c:v>20</c:v>
                </c:pt>
                <c:pt idx="2">
                  <c:v>27</c:v>
                </c:pt>
                <c:pt idx="3">
                  <c:v>25</c:v>
                </c:pt>
                <c:pt idx="4">
                  <c:v>22</c:v>
                </c:pt>
              </c:numCache>
            </c:numRef>
          </c:val>
        </c:ser>
        <c:ser>
          <c:idx val="1"/>
          <c:order val="1"/>
          <c:tx>
            <c:strRef>
              <c:f>Panen!$W$3</c:f>
              <c:strCache>
                <c:ptCount val="1"/>
                <c:pt idx="0">
                  <c:v>dmrt</c:v>
                </c:pt>
              </c:strCache>
            </c:strRef>
          </c:tx>
          <c:invertIfNegative val="0"/>
          <c:dLbls>
            <c:delete val="1"/>
          </c:dLbls>
          <c:cat>
            <c:strRef>
              <c:f>Panen!$U$4:$U$8</c:f>
              <c:strCache>
                <c:ptCount val="5"/>
                <c:pt idx="0">
                  <c:v>N</c:v>
                </c:pt>
                <c:pt idx="1">
                  <c:v>LS</c:v>
                </c:pt>
                <c:pt idx="2">
                  <c:v>LH</c:v>
                </c:pt>
                <c:pt idx="3">
                  <c:v>LY</c:v>
                </c:pt>
                <c:pt idx="4">
                  <c:v>LP</c:v>
                </c:pt>
              </c:strCache>
            </c:strRef>
          </c:cat>
          <c:val>
            <c:numRef>
              <c:f>Panen!$W$4:$W$8</c:f>
              <c:numCache>
                <c:formatCode>General</c:formatCode>
                <c:ptCount val="5"/>
                <c:pt idx="0">
                  <c:v>0</c:v>
                </c:pt>
                <c:pt idx="1">
                  <c:v>0</c:v>
                </c:pt>
                <c:pt idx="2">
                  <c:v>0</c:v>
                </c:pt>
                <c:pt idx="3">
                  <c:v>0</c:v>
                </c:pt>
                <c:pt idx="4">
                  <c:v>0</c:v>
                </c:pt>
              </c:numCache>
            </c:numRef>
          </c:val>
        </c:ser>
        <c:dLbls>
          <c:dLblPos val="outEnd"/>
          <c:showLegendKey val="0"/>
          <c:showVal val="1"/>
          <c:showCatName val="0"/>
          <c:showSerName val="0"/>
          <c:showPercent val="0"/>
          <c:showBubbleSize val="0"/>
        </c:dLbls>
        <c:gapWidth val="153"/>
        <c:overlap val="94"/>
        <c:axId val="295898112"/>
        <c:axId val="295900288"/>
      </c:barChart>
      <c:catAx>
        <c:axId val="295898112"/>
        <c:scaling>
          <c:orientation val="minMax"/>
        </c:scaling>
        <c:delete val="0"/>
        <c:axPos val="b"/>
        <c:title>
          <c:tx>
            <c:rich>
              <a:bodyPr/>
              <a:lstStyle/>
              <a:p>
                <a:pPr>
                  <a:defRPr b="0"/>
                </a:pPr>
                <a:r>
                  <a:rPr lang="en-US" b="0"/>
                  <a:t>Treatments</a:t>
                </a:r>
              </a:p>
            </c:rich>
          </c:tx>
          <c:overlay val="0"/>
        </c:title>
        <c:majorTickMark val="none"/>
        <c:minorTickMark val="none"/>
        <c:tickLblPos val="nextTo"/>
        <c:crossAx val="295900288"/>
        <c:crosses val="autoZero"/>
        <c:auto val="1"/>
        <c:lblAlgn val="ctr"/>
        <c:lblOffset val="100"/>
        <c:noMultiLvlLbl val="0"/>
      </c:catAx>
      <c:valAx>
        <c:axId val="295900288"/>
        <c:scaling>
          <c:orientation val="minMax"/>
        </c:scaling>
        <c:delete val="0"/>
        <c:axPos val="l"/>
        <c:majorGridlines/>
        <c:title>
          <c:tx>
            <c:rich>
              <a:bodyPr rot="-5400000" vert="horz"/>
              <a:lstStyle/>
              <a:p>
                <a:pPr>
                  <a:defRPr b="0"/>
                </a:pPr>
                <a:r>
                  <a:rPr lang="en-US" b="0" baseline="0"/>
                  <a:t>Plant Height  (cm)</a:t>
                </a:r>
                <a:endParaRPr lang="en-US" b="0"/>
              </a:p>
            </c:rich>
          </c:tx>
          <c:overlay val="0"/>
        </c:title>
        <c:numFmt formatCode="General" sourceLinked="1"/>
        <c:majorTickMark val="none"/>
        <c:minorTickMark val="none"/>
        <c:tickLblPos val="nextTo"/>
        <c:crossAx val="295898112"/>
        <c:crosses val="autoZero"/>
        <c:crossBetween val="between"/>
      </c:valAx>
    </c:plotArea>
    <c:plotVisOnly val="1"/>
    <c:dispBlanksAs val="gap"/>
    <c:showDLblsOverMax val="0"/>
  </c:chart>
  <c:spPr>
    <a:ln>
      <a:noFill/>
    </a:ln>
    <a:effectLst/>
  </c:spPr>
  <c:txPr>
    <a:bodyPr/>
    <a:lstStyle/>
    <a:p>
      <a:pPr>
        <a:defRPr baseline="0">
          <a:latin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Panen!$X$18</c:f>
              <c:strCache>
                <c:ptCount val="1"/>
                <c:pt idx="0">
                  <c:v>nilai </c:v>
                </c:pt>
              </c:strCache>
            </c:strRef>
          </c:tx>
          <c:invertIfNegative val="0"/>
          <c:dPt>
            <c:idx val="0"/>
            <c:invertIfNegative val="0"/>
            <c:bubble3D val="0"/>
            <c:spPr>
              <a:pattFill prst="zigZag">
                <a:fgClr>
                  <a:schemeClr val="accent1"/>
                </a:fgClr>
                <a:bgClr>
                  <a:schemeClr val="bg1"/>
                </a:bgClr>
              </a:pattFill>
              <a:ln>
                <a:solidFill>
                  <a:schemeClr val="tx1"/>
                </a:solidFill>
              </a:ln>
            </c:spPr>
          </c:dPt>
          <c:dPt>
            <c:idx val="1"/>
            <c:invertIfNegative val="0"/>
            <c:bubble3D val="0"/>
            <c:spPr>
              <a:pattFill prst="dkDnDiag">
                <a:fgClr>
                  <a:schemeClr val="accent1"/>
                </a:fgClr>
                <a:bgClr>
                  <a:schemeClr val="bg1"/>
                </a:bgClr>
              </a:pattFill>
              <a:ln>
                <a:solidFill>
                  <a:schemeClr val="tx1"/>
                </a:solidFill>
              </a:ln>
            </c:spPr>
          </c:dPt>
          <c:dPt>
            <c:idx val="2"/>
            <c:invertIfNegative val="0"/>
            <c:bubble3D val="0"/>
            <c:spPr>
              <a:pattFill prst="narVert">
                <a:fgClr>
                  <a:schemeClr val="accent1"/>
                </a:fgClr>
                <a:bgClr>
                  <a:schemeClr val="bg1"/>
                </a:bgClr>
              </a:pattFill>
              <a:ln>
                <a:solidFill>
                  <a:schemeClr val="tx1"/>
                </a:solidFill>
              </a:ln>
            </c:spPr>
          </c:dPt>
          <c:dPt>
            <c:idx val="3"/>
            <c:invertIfNegative val="0"/>
            <c:bubble3D val="0"/>
            <c:spPr>
              <a:pattFill prst="dkUpDiag">
                <a:fgClr>
                  <a:schemeClr val="accent1"/>
                </a:fgClr>
                <a:bgClr>
                  <a:schemeClr val="bg1"/>
                </a:bgClr>
              </a:pattFill>
              <a:ln>
                <a:solidFill>
                  <a:schemeClr val="tx1"/>
                </a:solidFill>
              </a:ln>
            </c:spPr>
          </c:dPt>
          <c:dPt>
            <c:idx val="4"/>
            <c:invertIfNegative val="0"/>
            <c:bubble3D val="0"/>
            <c:spPr>
              <a:pattFill prst="narHorz">
                <a:fgClr>
                  <a:schemeClr val="accent1"/>
                </a:fgClr>
                <a:bgClr>
                  <a:schemeClr val="bg1"/>
                </a:bgClr>
              </a:pattFill>
              <a:ln>
                <a:solidFill>
                  <a:schemeClr val="tx1"/>
                </a:solidFill>
              </a:ln>
            </c:spPr>
          </c:dPt>
          <c:dLbls>
            <c:dLbl>
              <c:idx val="0"/>
              <c:tx>
                <c:rich>
                  <a:bodyPr/>
                  <a:lstStyle/>
                  <a:p>
                    <a:r>
                      <a:rPr lang="en-US"/>
                      <a:t>7 a</a:t>
                    </a:r>
                  </a:p>
                </c:rich>
              </c:tx>
              <c:dLblPos val="outEnd"/>
              <c:showLegendKey val="0"/>
              <c:showVal val="1"/>
              <c:showCatName val="0"/>
              <c:showSerName val="0"/>
              <c:showPercent val="0"/>
              <c:showBubbleSize val="0"/>
            </c:dLbl>
            <c:dLbl>
              <c:idx val="1"/>
              <c:tx>
                <c:rich>
                  <a:bodyPr/>
                  <a:lstStyle/>
                  <a:p>
                    <a:r>
                      <a:rPr lang="en-US"/>
                      <a:t>8 a</a:t>
                    </a:r>
                  </a:p>
                </c:rich>
              </c:tx>
              <c:dLblPos val="outEnd"/>
              <c:showLegendKey val="0"/>
              <c:showVal val="1"/>
              <c:showCatName val="0"/>
              <c:showSerName val="0"/>
              <c:showPercent val="0"/>
              <c:showBubbleSize val="0"/>
            </c:dLbl>
            <c:dLbl>
              <c:idx val="2"/>
              <c:tx>
                <c:rich>
                  <a:bodyPr/>
                  <a:lstStyle/>
                  <a:p>
                    <a:r>
                      <a:rPr lang="en-US"/>
                      <a:t>10 b</a:t>
                    </a:r>
                  </a:p>
                </c:rich>
              </c:tx>
              <c:dLblPos val="outEnd"/>
              <c:showLegendKey val="0"/>
              <c:showVal val="1"/>
              <c:showCatName val="0"/>
              <c:showSerName val="0"/>
              <c:showPercent val="0"/>
              <c:showBubbleSize val="0"/>
            </c:dLbl>
            <c:dLbl>
              <c:idx val="3"/>
              <c:tx>
                <c:rich>
                  <a:bodyPr/>
                  <a:lstStyle/>
                  <a:p>
                    <a:r>
                      <a:rPr lang="en-US"/>
                      <a:t>11 b</a:t>
                    </a:r>
                  </a:p>
                </c:rich>
              </c:tx>
              <c:dLblPos val="outEnd"/>
              <c:showLegendKey val="0"/>
              <c:showVal val="1"/>
              <c:showCatName val="0"/>
              <c:showSerName val="0"/>
              <c:showPercent val="0"/>
              <c:showBubbleSize val="0"/>
            </c:dLbl>
            <c:dLbl>
              <c:idx val="4"/>
              <c:tx>
                <c:rich>
                  <a:bodyPr/>
                  <a:lstStyle/>
                  <a:p>
                    <a:r>
                      <a:rPr lang="en-US"/>
                      <a:t>8 a</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Panen!$W$19:$W$23</c:f>
              <c:strCache>
                <c:ptCount val="5"/>
                <c:pt idx="0">
                  <c:v>N</c:v>
                </c:pt>
                <c:pt idx="1">
                  <c:v>LS</c:v>
                </c:pt>
                <c:pt idx="2">
                  <c:v>LH</c:v>
                </c:pt>
                <c:pt idx="3">
                  <c:v>LY</c:v>
                </c:pt>
                <c:pt idx="4">
                  <c:v>LP</c:v>
                </c:pt>
              </c:strCache>
            </c:strRef>
          </c:cat>
          <c:val>
            <c:numRef>
              <c:f>Panen!$X$19:$X$23</c:f>
              <c:numCache>
                <c:formatCode>General</c:formatCode>
                <c:ptCount val="5"/>
                <c:pt idx="0">
                  <c:v>7</c:v>
                </c:pt>
                <c:pt idx="1">
                  <c:v>8</c:v>
                </c:pt>
                <c:pt idx="2">
                  <c:v>10</c:v>
                </c:pt>
                <c:pt idx="3">
                  <c:v>11</c:v>
                </c:pt>
                <c:pt idx="4">
                  <c:v>8</c:v>
                </c:pt>
              </c:numCache>
            </c:numRef>
          </c:val>
        </c:ser>
        <c:ser>
          <c:idx val="1"/>
          <c:order val="1"/>
          <c:tx>
            <c:strRef>
              <c:f>Panen!$Y$18</c:f>
              <c:strCache>
                <c:ptCount val="1"/>
                <c:pt idx="0">
                  <c:v>dmrt </c:v>
                </c:pt>
              </c:strCache>
            </c:strRef>
          </c:tx>
          <c:invertIfNegative val="0"/>
          <c:dLbls>
            <c:delete val="1"/>
          </c:dLbls>
          <c:cat>
            <c:strRef>
              <c:f>Panen!$W$19:$W$23</c:f>
              <c:strCache>
                <c:ptCount val="5"/>
                <c:pt idx="0">
                  <c:v>N</c:v>
                </c:pt>
                <c:pt idx="1">
                  <c:v>LS</c:v>
                </c:pt>
                <c:pt idx="2">
                  <c:v>LH</c:v>
                </c:pt>
                <c:pt idx="3">
                  <c:v>LY</c:v>
                </c:pt>
                <c:pt idx="4">
                  <c:v>LP</c:v>
                </c:pt>
              </c:strCache>
            </c:strRef>
          </c:cat>
          <c:val>
            <c:numRef>
              <c:f>Panen!$Y$19:$Y$23</c:f>
              <c:numCache>
                <c:formatCode>General</c:formatCode>
                <c:ptCount val="5"/>
                <c:pt idx="0">
                  <c:v>0</c:v>
                </c:pt>
                <c:pt idx="1">
                  <c:v>0</c:v>
                </c:pt>
                <c:pt idx="2">
                  <c:v>0</c:v>
                </c:pt>
                <c:pt idx="3">
                  <c:v>0</c:v>
                </c:pt>
                <c:pt idx="4">
                  <c:v>0</c:v>
                </c:pt>
              </c:numCache>
            </c:numRef>
          </c:val>
        </c:ser>
        <c:dLbls>
          <c:dLblPos val="outEnd"/>
          <c:showLegendKey val="0"/>
          <c:showVal val="1"/>
          <c:showCatName val="0"/>
          <c:showSerName val="0"/>
          <c:showPercent val="0"/>
          <c:showBubbleSize val="0"/>
        </c:dLbls>
        <c:gapWidth val="154"/>
        <c:overlap val="94"/>
        <c:axId val="295944192"/>
        <c:axId val="295946112"/>
      </c:barChart>
      <c:catAx>
        <c:axId val="295944192"/>
        <c:scaling>
          <c:orientation val="minMax"/>
        </c:scaling>
        <c:delete val="0"/>
        <c:axPos val="b"/>
        <c:title>
          <c:tx>
            <c:rich>
              <a:bodyPr/>
              <a:lstStyle/>
              <a:p>
                <a:pPr>
                  <a:defRPr b="0"/>
                </a:pPr>
                <a:r>
                  <a:rPr lang="en-US" b="0" baseline="0"/>
                  <a:t>Treatments  </a:t>
                </a:r>
                <a:endParaRPr lang="en-US" b="0"/>
              </a:p>
            </c:rich>
          </c:tx>
          <c:overlay val="0"/>
        </c:title>
        <c:majorTickMark val="none"/>
        <c:minorTickMark val="none"/>
        <c:tickLblPos val="nextTo"/>
        <c:crossAx val="295946112"/>
        <c:crosses val="autoZero"/>
        <c:auto val="1"/>
        <c:lblAlgn val="ctr"/>
        <c:lblOffset val="100"/>
        <c:noMultiLvlLbl val="0"/>
      </c:catAx>
      <c:valAx>
        <c:axId val="295946112"/>
        <c:scaling>
          <c:orientation val="minMax"/>
        </c:scaling>
        <c:delete val="0"/>
        <c:axPos val="l"/>
        <c:majorGridlines/>
        <c:title>
          <c:tx>
            <c:rich>
              <a:bodyPr rot="-5400000" vert="horz"/>
              <a:lstStyle/>
              <a:p>
                <a:pPr>
                  <a:defRPr b="0"/>
                </a:pPr>
                <a:r>
                  <a:rPr lang="en-US" b="0" baseline="0"/>
                  <a:t>Number of Leaves (strands)</a:t>
                </a:r>
                <a:endParaRPr lang="en-US" b="0"/>
              </a:p>
            </c:rich>
          </c:tx>
          <c:overlay val="0"/>
        </c:title>
        <c:numFmt formatCode="General" sourceLinked="1"/>
        <c:majorTickMark val="none"/>
        <c:minorTickMark val="none"/>
        <c:tickLblPos val="nextTo"/>
        <c:crossAx val="295944192"/>
        <c:crosses val="autoZero"/>
        <c:crossBetween val="between"/>
      </c:valAx>
    </c:plotArea>
    <c:plotVisOnly val="1"/>
    <c:dispBlanksAs val="gap"/>
    <c:showDLblsOverMax val="0"/>
  </c:chart>
  <c:spPr>
    <a:ln>
      <a:noFill/>
    </a:ln>
    <a:effectLst/>
  </c:spPr>
  <c:txPr>
    <a:bodyPr/>
    <a:lstStyle/>
    <a:p>
      <a:pPr>
        <a:defRPr baseline="0">
          <a:latin typeface="Times New Roman"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Panen!$X$34</c:f>
              <c:strCache>
                <c:ptCount val="1"/>
                <c:pt idx="0">
                  <c:v>nilai</c:v>
                </c:pt>
              </c:strCache>
            </c:strRef>
          </c:tx>
          <c:invertIfNegative val="0"/>
          <c:dPt>
            <c:idx val="0"/>
            <c:invertIfNegative val="0"/>
            <c:bubble3D val="0"/>
            <c:spPr>
              <a:pattFill prst="zigZag">
                <a:fgClr>
                  <a:schemeClr val="accent1"/>
                </a:fgClr>
                <a:bgClr>
                  <a:schemeClr val="bg1"/>
                </a:bgClr>
              </a:pattFill>
              <a:ln>
                <a:solidFill>
                  <a:schemeClr val="tx1"/>
                </a:solidFill>
              </a:ln>
            </c:spPr>
          </c:dPt>
          <c:dPt>
            <c:idx val="1"/>
            <c:invertIfNegative val="0"/>
            <c:bubble3D val="0"/>
            <c:spPr>
              <a:pattFill prst="dkDnDiag">
                <a:fgClr>
                  <a:schemeClr val="accent1"/>
                </a:fgClr>
                <a:bgClr>
                  <a:schemeClr val="bg1"/>
                </a:bgClr>
              </a:pattFill>
              <a:ln>
                <a:solidFill>
                  <a:schemeClr val="tx1"/>
                </a:solidFill>
              </a:ln>
            </c:spPr>
          </c:dPt>
          <c:dPt>
            <c:idx val="2"/>
            <c:invertIfNegative val="0"/>
            <c:bubble3D val="0"/>
            <c:spPr>
              <a:pattFill prst="narVert">
                <a:fgClr>
                  <a:schemeClr val="accent1"/>
                </a:fgClr>
                <a:bgClr>
                  <a:schemeClr val="bg1"/>
                </a:bgClr>
              </a:pattFill>
              <a:ln>
                <a:solidFill>
                  <a:schemeClr val="tx1"/>
                </a:solidFill>
              </a:ln>
            </c:spPr>
          </c:dPt>
          <c:dPt>
            <c:idx val="3"/>
            <c:invertIfNegative val="0"/>
            <c:bubble3D val="0"/>
            <c:spPr>
              <a:pattFill prst="dkUpDiag">
                <a:fgClr>
                  <a:schemeClr val="accent1"/>
                </a:fgClr>
                <a:bgClr>
                  <a:schemeClr val="bg1"/>
                </a:bgClr>
              </a:pattFill>
              <a:ln>
                <a:solidFill>
                  <a:schemeClr val="tx1"/>
                </a:solidFill>
              </a:ln>
            </c:spPr>
          </c:dPt>
          <c:dPt>
            <c:idx val="4"/>
            <c:invertIfNegative val="0"/>
            <c:bubble3D val="0"/>
            <c:spPr>
              <a:pattFill prst="narHorz">
                <a:fgClr>
                  <a:schemeClr val="accent1"/>
                </a:fgClr>
                <a:bgClr>
                  <a:schemeClr val="bg1"/>
                </a:bgClr>
              </a:pattFill>
              <a:ln>
                <a:solidFill>
                  <a:schemeClr val="tx1"/>
                </a:solidFill>
              </a:ln>
            </c:spPr>
          </c:dPt>
          <c:dLbls>
            <c:dLbl>
              <c:idx val="0"/>
              <c:tx>
                <c:rich>
                  <a:bodyPr/>
                  <a:lstStyle/>
                  <a:p>
                    <a:r>
                      <a:rPr lang="en-US"/>
                      <a:t>0.28 a</a:t>
                    </a:r>
                  </a:p>
                </c:rich>
              </c:tx>
              <c:dLblPos val="outEnd"/>
              <c:showLegendKey val="0"/>
              <c:showVal val="1"/>
              <c:showCatName val="0"/>
              <c:showSerName val="0"/>
              <c:showPercent val="0"/>
              <c:showBubbleSize val="0"/>
            </c:dLbl>
            <c:dLbl>
              <c:idx val="1"/>
              <c:tx>
                <c:rich>
                  <a:bodyPr/>
                  <a:lstStyle/>
                  <a:p>
                    <a:r>
                      <a:rPr lang="en-US"/>
                      <a:t>0.33 b</a:t>
                    </a:r>
                  </a:p>
                </c:rich>
              </c:tx>
              <c:dLblPos val="outEnd"/>
              <c:showLegendKey val="0"/>
              <c:showVal val="1"/>
              <c:showCatName val="0"/>
              <c:showSerName val="0"/>
              <c:showPercent val="0"/>
              <c:showBubbleSize val="0"/>
            </c:dLbl>
            <c:dLbl>
              <c:idx val="2"/>
              <c:tx>
                <c:rich>
                  <a:bodyPr/>
                  <a:lstStyle/>
                  <a:p>
                    <a:r>
                      <a:rPr lang="en-US"/>
                      <a:t>0.42 c</a:t>
                    </a:r>
                  </a:p>
                </c:rich>
              </c:tx>
              <c:dLblPos val="outEnd"/>
              <c:showLegendKey val="0"/>
              <c:showVal val="1"/>
              <c:showCatName val="0"/>
              <c:showSerName val="0"/>
              <c:showPercent val="0"/>
              <c:showBubbleSize val="0"/>
            </c:dLbl>
            <c:dLbl>
              <c:idx val="3"/>
              <c:tx>
                <c:rich>
                  <a:bodyPr/>
                  <a:lstStyle/>
                  <a:p>
                    <a:r>
                      <a:rPr lang="en-US"/>
                      <a:t>0.33 b</a:t>
                    </a:r>
                  </a:p>
                </c:rich>
              </c:tx>
              <c:dLblPos val="outEnd"/>
              <c:showLegendKey val="0"/>
              <c:showVal val="1"/>
              <c:showCatName val="0"/>
              <c:showSerName val="0"/>
              <c:showPercent val="0"/>
              <c:showBubbleSize val="0"/>
            </c:dLbl>
            <c:dLbl>
              <c:idx val="4"/>
              <c:tx>
                <c:rich>
                  <a:bodyPr/>
                  <a:lstStyle/>
                  <a:p>
                    <a:r>
                      <a:rPr lang="en-US"/>
                      <a:t>0.34 b</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Panen!$W$35:$W$39</c:f>
              <c:strCache>
                <c:ptCount val="5"/>
                <c:pt idx="0">
                  <c:v>N</c:v>
                </c:pt>
                <c:pt idx="1">
                  <c:v>LS</c:v>
                </c:pt>
                <c:pt idx="2">
                  <c:v>LH</c:v>
                </c:pt>
                <c:pt idx="3">
                  <c:v>LY</c:v>
                </c:pt>
                <c:pt idx="4">
                  <c:v>LP</c:v>
                </c:pt>
              </c:strCache>
            </c:strRef>
          </c:cat>
          <c:val>
            <c:numRef>
              <c:f>Panen!$X$35:$X$39</c:f>
              <c:numCache>
                <c:formatCode>General</c:formatCode>
                <c:ptCount val="5"/>
                <c:pt idx="0">
                  <c:v>0.28000000000000003</c:v>
                </c:pt>
                <c:pt idx="1">
                  <c:v>0.33</c:v>
                </c:pt>
                <c:pt idx="2">
                  <c:v>0.42</c:v>
                </c:pt>
                <c:pt idx="3">
                  <c:v>0.33</c:v>
                </c:pt>
                <c:pt idx="4">
                  <c:v>0.34</c:v>
                </c:pt>
              </c:numCache>
            </c:numRef>
          </c:val>
        </c:ser>
        <c:ser>
          <c:idx val="1"/>
          <c:order val="1"/>
          <c:tx>
            <c:strRef>
              <c:f>Panen!$Y$34</c:f>
              <c:strCache>
                <c:ptCount val="1"/>
                <c:pt idx="0">
                  <c:v>dmrt</c:v>
                </c:pt>
              </c:strCache>
            </c:strRef>
          </c:tx>
          <c:invertIfNegative val="0"/>
          <c:dLbls>
            <c:delete val="1"/>
          </c:dLbls>
          <c:cat>
            <c:strRef>
              <c:f>Panen!$W$35:$W$39</c:f>
              <c:strCache>
                <c:ptCount val="5"/>
                <c:pt idx="0">
                  <c:v>N</c:v>
                </c:pt>
                <c:pt idx="1">
                  <c:v>LS</c:v>
                </c:pt>
                <c:pt idx="2">
                  <c:v>LH</c:v>
                </c:pt>
                <c:pt idx="3">
                  <c:v>LY</c:v>
                </c:pt>
                <c:pt idx="4">
                  <c:v>LP</c:v>
                </c:pt>
              </c:strCache>
            </c:strRef>
          </c:cat>
          <c:val>
            <c:numRef>
              <c:f>Panen!$Y$35:$Y$39</c:f>
              <c:numCache>
                <c:formatCode>General</c:formatCode>
                <c:ptCount val="5"/>
                <c:pt idx="0">
                  <c:v>0</c:v>
                </c:pt>
                <c:pt idx="1">
                  <c:v>0</c:v>
                </c:pt>
                <c:pt idx="2">
                  <c:v>0</c:v>
                </c:pt>
                <c:pt idx="3">
                  <c:v>0</c:v>
                </c:pt>
                <c:pt idx="4">
                  <c:v>0</c:v>
                </c:pt>
              </c:numCache>
            </c:numRef>
          </c:val>
        </c:ser>
        <c:dLbls>
          <c:dLblPos val="outEnd"/>
          <c:showLegendKey val="0"/>
          <c:showVal val="1"/>
          <c:showCatName val="0"/>
          <c:showSerName val="0"/>
          <c:showPercent val="0"/>
          <c:showBubbleSize val="0"/>
        </c:dLbls>
        <c:gapWidth val="154"/>
        <c:overlap val="94"/>
        <c:axId val="295989248"/>
        <c:axId val="295991168"/>
      </c:barChart>
      <c:catAx>
        <c:axId val="295989248"/>
        <c:scaling>
          <c:orientation val="minMax"/>
        </c:scaling>
        <c:delete val="0"/>
        <c:axPos val="b"/>
        <c:title>
          <c:tx>
            <c:rich>
              <a:bodyPr/>
              <a:lstStyle/>
              <a:p>
                <a:pPr>
                  <a:defRPr b="0"/>
                </a:pPr>
                <a:r>
                  <a:rPr lang="en-US" b="0"/>
                  <a:t>Treatments</a:t>
                </a:r>
                <a:r>
                  <a:rPr lang="en-US" b="0" baseline="0"/>
                  <a:t> </a:t>
                </a:r>
                <a:r>
                  <a:rPr lang="en-US" b="0"/>
                  <a:t> </a:t>
                </a:r>
              </a:p>
            </c:rich>
          </c:tx>
          <c:overlay val="0"/>
        </c:title>
        <c:majorTickMark val="out"/>
        <c:minorTickMark val="none"/>
        <c:tickLblPos val="nextTo"/>
        <c:crossAx val="295991168"/>
        <c:crosses val="autoZero"/>
        <c:auto val="1"/>
        <c:lblAlgn val="ctr"/>
        <c:lblOffset val="100"/>
        <c:noMultiLvlLbl val="0"/>
      </c:catAx>
      <c:valAx>
        <c:axId val="295991168"/>
        <c:scaling>
          <c:orientation val="minMax"/>
        </c:scaling>
        <c:delete val="0"/>
        <c:axPos val="l"/>
        <c:majorGridlines/>
        <c:title>
          <c:tx>
            <c:rich>
              <a:bodyPr rot="-5400000" vert="horz"/>
              <a:lstStyle/>
              <a:p>
                <a:pPr>
                  <a:defRPr b="0"/>
                </a:pPr>
                <a:r>
                  <a:rPr lang="en-US" b="0"/>
                  <a:t>Plant</a:t>
                </a:r>
                <a:r>
                  <a:rPr lang="en-US" b="0" baseline="0"/>
                  <a:t> Dry Weight</a:t>
                </a:r>
                <a:r>
                  <a:rPr lang="en-US" b="0"/>
                  <a:t> (gram)</a:t>
                </a:r>
              </a:p>
            </c:rich>
          </c:tx>
          <c:overlay val="0"/>
        </c:title>
        <c:numFmt formatCode="General" sourceLinked="1"/>
        <c:majorTickMark val="out"/>
        <c:minorTickMark val="none"/>
        <c:tickLblPos val="nextTo"/>
        <c:crossAx val="295989248"/>
        <c:crosses val="autoZero"/>
        <c:crossBetween val="between"/>
      </c:valAx>
    </c:plotArea>
    <c:plotVisOnly val="1"/>
    <c:dispBlanksAs val="gap"/>
    <c:showDLblsOverMax val="0"/>
  </c:chart>
  <c:spPr>
    <a:ln>
      <a:noFill/>
    </a:ln>
    <a:effectLst/>
  </c:spPr>
  <c:txPr>
    <a:bodyPr/>
    <a:lstStyle/>
    <a:p>
      <a:pPr>
        <a:defRPr baseline="0">
          <a:latin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67538-832B-4233-9B73-A631A9406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6725</Words>
  <Characters>38339</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44975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2023-10-31T14:30:00Z</cp:lastPrinted>
  <dcterms:created xsi:type="dcterms:W3CDTF">2023-11-14T12:44:00Z</dcterms:created>
  <dcterms:modified xsi:type="dcterms:W3CDTF">2023-11-14T12:44:00Z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35e2b5ef-4c8c-3b6b-8746-cfefe51c91e2</vt:lpwstr>
  </property>
  <property fmtid="{D5CDD505-2E9C-101B-9397-08002B2CF9AE}" pid="24" name="Mendeley Citation Style_1">
    <vt:lpwstr>http://www.zotero.org/styles/apa</vt:lpwstr>
  </property>
</Properties>
</file>