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7E76A" w14:textId="05C46599" w:rsidR="00A73BD7" w:rsidRPr="00824EA6" w:rsidRDefault="00A73BD7" w:rsidP="00824E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Running title: </w:t>
      </w:r>
      <w:r>
        <w:rPr>
          <w:rFonts w:ascii="Times New Roman" w:hAnsi="Times New Roman" w:cs="Times New Roman"/>
          <w:sz w:val="24"/>
          <w:szCs w:val="24"/>
          <w:lang w:val="en-US"/>
        </w:rPr>
        <w:t>Herbicide-Resistant Fleabane with Rapid Necrosis Mechanism</w:t>
      </w:r>
    </w:p>
    <w:p w14:paraId="2575BF7E" w14:textId="459AA0D6" w:rsidR="0015275C" w:rsidRPr="00A37907" w:rsidRDefault="0015275C" w:rsidP="00A73BD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Mapping of 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Herbicide-Resistant </w:t>
      </w:r>
      <w:r w:rsidR="00A73BD7">
        <w:rPr>
          <w:rFonts w:ascii="Times New Roman" w:hAnsi="Times New Roman" w:cs="Times New Roman"/>
          <w:b/>
          <w:bCs/>
          <w:sz w:val="24"/>
          <w:szCs w:val="24"/>
          <w:lang w:val="en-US"/>
        </w:rPr>
        <w:t>Fleabane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F6E8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3F6E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Conyza </w:t>
      </w:r>
      <w:r w:rsidR="003F6E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spp.) 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="00A73BD7">
        <w:rPr>
          <w:rFonts w:ascii="Times New Roman" w:hAnsi="Times New Roman" w:cs="Times New Roman"/>
          <w:b/>
          <w:bCs/>
          <w:sz w:val="24"/>
          <w:szCs w:val="24"/>
          <w:lang w:val="en-US"/>
        </w:rPr>
        <w:t>In-Depth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3BD7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3BD7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 </w:t>
      </w:r>
      <w:r w:rsidR="00A73BD7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A73BD7" w:rsidRPr="00A37907">
        <w:rPr>
          <w:rFonts w:ascii="Times New Roman" w:hAnsi="Times New Roman" w:cs="Times New Roman"/>
          <w:b/>
          <w:bCs/>
          <w:sz w:val="24"/>
          <w:szCs w:val="24"/>
          <w:lang w:val="en-US"/>
        </w:rPr>
        <w:t>he Rapid Necrosis Mechanism</w:t>
      </w:r>
    </w:p>
    <w:p w14:paraId="271407D3" w14:textId="77777777" w:rsidR="00A73BD7" w:rsidRPr="00A73BD7" w:rsidRDefault="00A73BD7" w:rsidP="00A73BD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bookmarkStart w:id="0" w:name="_Hlk129076937"/>
    </w:p>
    <w:p w14:paraId="3140182B" w14:textId="764227E1" w:rsidR="0015275C" w:rsidRPr="0013473B" w:rsidRDefault="00F85A62" w:rsidP="00A73BD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Matheus </w:t>
      </w:r>
      <w:proofErr w:type="spellStart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Greguer</w:t>
      </w:r>
      <w:proofErr w:type="spellEnd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de Carvalho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1,2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Alfredo Junior </w:t>
      </w:r>
      <w:proofErr w:type="spellStart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Paiola</w:t>
      </w:r>
      <w:proofErr w:type="spellEnd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Albrecht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3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Leandro </w:t>
      </w:r>
      <w:proofErr w:type="spellStart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Paiola</w:t>
      </w:r>
      <w:proofErr w:type="spellEnd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Albrecht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3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Aderlan</w:t>
      </w:r>
      <w:proofErr w:type="spellEnd"/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Ademir Bottcher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1,2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Willian Felipe Larini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4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Felipe Marcon Battiston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3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André Felipe Moreira Silva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2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*</w:t>
      </w:r>
      <w:r w:rsidR="00BD30DA"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and 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Arthur Arrobas Martins Barroso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4</w:t>
      </w:r>
      <w:r w:rsidRPr="0013473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bookmarkEnd w:id="0"/>
    </w:p>
    <w:p w14:paraId="388BEF45" w14:textId="5B1A0FC7" w:rsidR="00F85A62" w:rsidRPr="00824EA6" w:rsidRDefault="00F85A62" w:rsidP="00824EA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</w:pP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="0013473B"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State University of Maringá (UEM)</w:t>
      </w: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9C5710"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Department of Agronomics Sciences (DCA)</w:t>
      </w: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, Umuarama, PR, Brazil</w:t>
      </w:r>
    </w:p>
    <w:p w14:paraId="3CED1895" w14:textId="4C3E77F2" w:rsidR="00F85A62" w:rsidRPr="0028295D" w:rsidRDefault="00F85A62" w:rsidP="00824EA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</w:pP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</w:rPr>
        <w:t>2</w:t>
      </w: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Crop Science Pesquisa e Consultoria Agronômica Ltda. </w:t>
      </w:r>
      <w:r w:rsidRPr="002829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(Crop Pesquisa), Maripá, PR, Brazil</w:t>
      </w:r>
    </w:p>
    <w:p w14:paraId="1C9C761B" w14:textId="3076583E" w:rsidR="00F27A2B" w:rsidRPr="00824EA6" w:rsidRDefault="00F27A2B" w:rsidP="00824EA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</w:pP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 w:rsidR="009C5710"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Federal University of Paraná (UFPR)</w:t>
      </w: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9C5710"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Department of Agronomics Sciences (DCA)</w:t>
      </w: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, Palotina, PR, Brazil </w:t>
      </w:r>
    </w:p>
    <w:p w14:paraId="05433DBA" w14:textId="6713A2E9" w:rsidR="00F27A2B" w:rsidRPr="00824EA6" w:rsidRDefault="00F27A2B" w:rsidP="00824EA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</w:pP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="009C5710"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Federal University of Paraná (UFPR), Department of Crop Science and Plant Health (DFF)</w:t>
      </w:r>
      <w:r w:rsidRPr="00824E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, Curitiba, PR, Brazil</w:t>
      </w:r>
    </w:p>
    <w:p w14:paraId="2D1699F0" w14:textId="63684CBC" w:rsidR="00F85A62" w:rsidRPr="006B05A7" w:rsidRDefault="00086062" w:rsidP="00824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5A7">
        <w:rPr>
          <w:rFonts w:ascii="Times New Roman" w:hAnsi="Times New Roman" w:cs="Times New Roman"/>
          <w:bCs/>
          <w:sz w:val="24"/>
          <w:szCs w:val="24"/>
          <w:lang w:val="en-US"/>
        </w:rPr>
        <w:t>*</w:t>
      </w:r>
      <w:r w:rsidR="00B541DC">
        <w:rPr>
          <w:rFonts w:ascii="Times New Roman" w:hAnsi="Times New Roman" w:cs="Times New Roman"/>
          <w:bCs/>
          <w:sz w:val="24"/>
          <w:szCs w:val="24"/>
          <w:lang w:val="en-US"/>
        </w:rPr>
        <w:t>For c</w:t>
      </w:r>
      <w:r w:rsidRPr="006B05A7">
        <w:rPr>
          <w:rFonts w:ascii="Times New Roman" w:hAnsi="Times New Roman" w:cs="Times New Roman"/>
          <w:bCs/>
          <w:sz w:val="24"/>
          <w:szCs w:val="24"/>
          <w:lang w:val="en-US"/>
        </w:rPr>
        <w:t>orrespon</w:t>
      </w:r>
      <w:r w:rsidR="00B541DC">
        <w:rPr>
          <w:rFonts w:ascii="Times New Roman" w:hAnsi="Times New Roman" w:cs="Times New Roman"/>
          <w:bCs/>
          <w:sz w:val="24"/>
          <w:szCs w:val="24"/>
          <w:lang w:val="en-US"/>
        </w:rPr>
        <w:t>dence: afmoreirasilva@alumni.usp.br</w:t>
      </w:r>
      <w:r w:rsidRPr="006B05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5E08E03" w14:textId="40AE2DBE" w:rsidR="0013473B" w:rsidRPr="00B541DC" w:rsidRDefault="00B541DC" w:rsidP="00824E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41DC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Received _______________; Accepted _______________; Published _______________</w:t>
      </w:r>
    </w:p>
    <w:p w14:paraId="524E495C" w14:textId="77777777" w:rsidR="0014459B" w:rsidRPr="0028295D" w:rsidRDefault="0014459B" w:rsidP="00A73BD7">
      <w:pPr>
        <w:spacing w:after="0"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5CFC303C" w14:textId="125497C0" w:rsidR="00B541DC" w:rsidRDefault="00B541DC" w:rsidP="00A73BD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6E8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Novelty statement</w:t>
      </w:r>
    </w:p>
    <w:p w14:paraId="1A8B7C91" w14:textId="77777777" w:rsidR="003F6E8B" w:rsidRDefault="003F6E8B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11DF97" w14:textId="536B1475" w:rsidR="0013473B" w:rsidRPr="003F6E8B" w:rsidRDefault="003F6E8B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E8B">
        <w:rPr>
          <w:rFonts w:ascii="Times New Roman" w:hAnsi="Times New Roman" w:cs="Times New Roman"/>
          <w:sz w:val="24"/>
          <w:szCs w:val="24"/>
          <w:lang w:val="en-US"/>
        </w:rPr>
        <w:t xml:space="preserve">The dose-response curve confirmed multiple resistance to diquat and 2,4-D in a Sumatran fleabane accession collected in PR. Glyphosate resistance was found in all fleabane accessions except one. </w:t>
      </w:r>
      <w:r w:rsidR="00BB6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6E8B">
        <w:rPr>
          <w:rFonts w:ascii="Times New Roman" w:hAnsi="Times New Roman" w:cs="Times New Roman"/>
          <w:sz w:val="24"/>
          <w:szCs w:val="24"/>
          <w:lang w:val="en-US"/>
        </w:rPr>
        <w:t>iquat</w:t>
      </w:r>
      <w:r w:rsidR="00BB62CC">
        <w:rPr>
          <w:rFonts w:ascii="Times New Roman" w:hAnsi="Times New Roman" w:cs="Times New Roman"/>
          <w:sz w:val="24"/>
          <w:szCs w:val="24"/>
          <w:lang w:val="en-US"/>
        </w:rPr>
        <w:t xml:space="preserve"> resistance was found in 28 fleabane </w:t>
      </w:r>
      <w:r w:rsidRPr="003F6E8B">
        <w:rPr>
          <w:rFonts w:ascii="Times New Roman" w:hAnsi="Times New Roman" w:cs="Times New Roman"/>
          <w:sz w:val="24"/>
          <w:szCs w:val="24"/>
          <w:lang w:val="en-US"/>
        </w:rPr>
        <w:t>accessions. Rapid necrosis symptoms were observed in 44 fleabane accessions</w:t>
      </w:r>
      <w:r w:rsidR="00BB62CC">
        <w:rPr>
          <w:rFonts w:ascii="Times New Roman" w:hAnsi="Times New Roman" w:cs="Times New Roman"/>
          <w:sz w:val="24"/>
          <w:szCs w:val="24"/>
          <w:lang w:val="en-US"/>
        </w:rPr>
        <w:t xml:space="preserve"> for 2,4-D. </w:t>
      </w:r>
      <w:r w:rsidRPr="003F6E8B">
        <w:rPr>
          <w:rFonts w:ascii="Times New Roman" w:hAnsi="Times New Roman" w:cs="Times New Roman"/>
          <w:sz w:val="24"/>
          <w:szCs w:val="24"/>
          <w:lang w:val="en-US"/>
        </w:rPr>
        <w:t>No rapid necrosis or any indication of resistance was observed for dicamba and triclopyr, classifying them as options for fleabane control.</w:t>
      </w:r>
    </w:p>
    <w:p w14:paraId="141B9D87" w14:textId="77777777" w:rsidR="00824EA6" w:rsidRDefault="00824EA6" w:rsidP="00A73BD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B05256" w14:textId="77777777" w:rsidR="00EE573B" w:rsidRDefault="0015275C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A9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65D4C7" w14:textId="77777777" w:rsidR="00EE573B" w:rsidRDefault="00EE573B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41EC8C" w14:textId="5BF238DD" w:rsidR="0015275C" w:rsidRPr="00F33B20" w:rsidRDefault="0015275C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7AAD">
        <w:rPr>
          <w:rFonts w:ascii="Times New Roman" w:hAnsi="Times New Roman" w:cs="Times New Roman"/>
          <w:sz w:val="24"/>
          <w:szCs w:val="24"/>
          <w:lang w:val="en-US"/>
        </w:rPr>
        <w:t>aim of this study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was to identify and map populations of herbicide-resistant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A7AAD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mechanism of resistance involving rapid necrosis after the application of synthetic auxins. Seeds were collected from 60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accessions in the states of Paraná (PR) and Mato Grosso do Sul (MS), Brazil. Diquat, glufosinate, saflufenacil, glyphosate, 2,4-D, triclopyr, and dicamba were applied. Weed control was </w:t>
      </w:r>
      <w:r w:rsidR="0048736B"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28 days after application</w:t>
      </w:r>
      <w:r w:rsidR="00312809">
        <w:rPr>
          <w:rFonts w:ascii="Times New Roman" w:hAnsi="Times New Roman" w:cs="Times New Roman"/>
          <w:sz w:val="24"/>
          <w:szCs w:val="24"/>
          <w:lang w:val="en-US"/>
        </w:rPr>
        <w:t xml:space="preserve"> (DAA)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, with accessions showing &lt;80%</w:t>
      </w:r>
      <w:r w:rsidR="00243F31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considered possibly resistant. For synthetic auxins, control was also assessed 24 hours after application </w:t>
      </w:r>
      <w:r w:rsidR="000E1CE8">
        <w:rPr>
          <w:rFonts w:ascii="Times New Roman" w:hAnsi="Times New Roman" w:cs="Times New Roman"/>
          <w:sz w:val="24"/>
          <w:szCs w:val="24"/>
          <w:lang w:val="en-US"/>
        </w:rPr>
        <w:t xml:space="preserve">(HAA)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2809">
        <w:rPr>
          <w:rFonts w:ascii="Times New Roman" w:hAnsi="Times New Roman" w:cs="Times New Roman"/>
          <w:sz w:val="24"/>
          <w:szCs w:val="24"/>
          <w:lang w:val="en-US"/>
        </w:rPr>
        <w:t xml:space="preserve">check for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rapid necrosis, confirmed for accessions with &gt;15%</w:t>
      </w:r>
      <w:r w:rsidR="00845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679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. The dose-response curve </w:t>
      </w:r>
      <w:r w:rsidR="00CE4516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769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accession</w:t>
      </w:r>
      <w:r w:rsidR="00465E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E9F">
        <w:rPr>
          <w:rFonts w:ascii="Times New Roman" w:hAnsi="Times New Roman" w:cs="Times New Roman"/>
          <w:sz w:val="24"/>
          <w:szCs w:val="24"/>
          <w:lang w:val="en-US"/>
        </w:rPr>
        <w:t xml:space="preserve">identified as Sumatran </w:t>
      </w:r>
      <w:proofErr w:type="gramStart"/>
      <w:r w:rsidR="00465E9F">
        <w:rPr>
          <w:rFonts w:ascii="Times New Roman" w:hAnsi="Times New Roman" w:cs="Times New Roman"/>
          <w:sz w:val="24"/>
          <w:szCs w:val="24"/>
          <w:lang w:val="en-US"/>
        </w:rPr>
        <w:t>fleabane</w:t>
      </w:r>
      <w:proofErr w:type="gramEnd"/>
      <w:r w:rsidR="00465E9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collected in PR</w:t>
      </w:r>
      <w:r w:rsidR="00465E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with multiple resistance to diquat and 2,4-D. Glyphosate resistance was found in all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accessions</w:t>
      </w:r>
      <w:r w:rsidR="00F769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except one. Twenty-eight accessions </w:t>
      </w:r>
      <w:r w:rsidR="00B65986">
        <w:rPr>
          <w:rFonts w:ascii="Times New Roman" w:hAnsi="Times New Roman" w:cs="Times New Roman"/>
          <w:sz w:val="24"/>
          <w:szCs w:val="24"/>
          <w:lang w:val="en-US"/>
        </w:rPr>
        <w:t>were resistant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to diquat. For glufosinate and saflufenacil, none of the accessions were classified as resistant. </w:t>
      </w:r>
      <w:r w:rsidR="006F09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apid necrosis </w:t>
      </w:r>
      <w:r w:rsidR="0031280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clearly observed in 44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accessions after 2,4-D </w:t>
      </w:r>
      <w:r w:rsidR="00461050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in both states, indicating the presence of the resistance mechanism. No rapid necrosis was observed for dicamba and triclopyr, or any indication of resistance.</w:t>
      </w:r>
    </w:p>
    <w:p w14:paraId="389A4E20" w14:textId="77777777" w:rsidR="00EE573B" w:rsidRDefault="00EE573B" w:rsidP="00A73BD7">
      <w:pPr>
        <w:spacing w:after="0" w:line="480" w:lineRule="auto"/>
        <w:jc w:val="both"/>
        <w:rPr>
          <w:rStyle w:val="longtext"/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42163525" w14:textId="1DF4EE66" w:rsidR="0015275C" w:rsidRDefault="00EE573B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longtext"/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Keywords</w:t>
      </w:r>
      <w:r w:rsidR="00DD1F9D" w:rsidRPr="00DD1F9D">
        <w:rPr>
          <w:rStyle w:val="longtext"/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>iquat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2,4-D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Monitoring;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>eed control</w:t>
      </w:r>
    </w:p>
    <w:p w14:paraId="595407DF" w14:textId="77777777" w:rsidR="00EE573B" w:rsidRDefault="00EE573B" w:rsidP="00EE573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08E775" w14:textId="77777777" w:rsidR="00EE573B" w:rsidRDefault="0015275C" w:rsidP="00EE573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A9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28EB37AF" w14:textId="77777777" w:rsidR="00EE573B" w:rsidRDefault="00EE573B" w:rsidP="00EE573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40D31E" w14:textId="328E6E28" w:rsidR="00A26BFC" w:rsidRDefault="0015275C" w:rsidP="00A26B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The genus </w:t>
      </w:r>
      <w:r w:rsidRPr="00DD1F9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Conyza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(syn.: </w:t>
      </w:r>
      <w:r w:rsidRPr="00DD1F9D">
        <w:rPr>
          <w:rFonts w:ascii="Times New Roman" w:hAnsi="Times New Roman" w:cs="Times New Roman"/>
          <w:i/>
          <w:iCs/>
          <w:sz w:val="24"/>
          <w:szCs w:val="24"/>
          <w:lang w:val="en-US"/>
        </w:rPr>
        <w:t>Erigeron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 belongs to the </w:t>
      </w:r>
      <w:r w:rsidR="00461050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Asteraceae and co</w:t>
      </w:r>
      <w:r w:rsidR="007C6F41">
        <w:rPr>
          <w:rFonts w:ascii="Times New Roman" w:hAnsi="Times New Roman" w:cs="Times New Roman"/>
          <w:sz w:val="24"/>
          <w:szCs w:val="24"/>
          <w:lang w:val="en-US"/>
        </w:rPr>
        <w:t>ntains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C6F41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150 species worldwide (Flann, 2016). Among the weed species, </w:t>
      </w:r>
      <w:r w:rsidRPr="00DD1F9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Conyza bonariensis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(L.)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Cronquist (hairy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Conyza sumatrensis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(Retz.) E. Walker (Sumatran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Conyza canadensis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(L.) Cronquist (</w:t>
      </w:r>
      <w:r w:rsidR="00EA3EE4">
        <w:rPr>
          <w:rFonts w:ascii="Times New Roman" w:hAnsi="Times New Roman" w:cs="Times New Roman"/>
          <w:sz w:val="24"/>
          <w:szCs w:val="24"/>
          <w:lang w:val="en-US"/>
        </w:rPr>
        <w:t>horseweed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 stand out.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Conyza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spp. (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 is widely distributed throughout Brazil (Lucio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2019; Mendes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2021)</w:t>
      </w:r>
      <w:r w:rsidR="005143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Sumatran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="00427961">
        <w:rPr>
          <w:rFonts w:ascii="Times New Roman" w:hAnsi="Times New Roman" w:cs="Times New Roman"/>
          <w:sz w:val="24"/>
          <w:szCs w:val="24"/>
          <w:lang w:val="en-US"/>
        </w:rPr>
        <w:t xml:space="preserve"> is prevalent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in Brazil, while hairy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is also observed, especially in the southern region (Marochio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2017; Ruiz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2022).</w:t>
      </w:r>
    </w:p>
    <w:p w14:paraId="27870C04" w14:textId="24778212" w:rsidR="00A26BFC" w:rsidRDefault="0015275C" w:rsidP="00A26BFC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In Brazil, cases of resistance in Sumatran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to paraquat (Zobiole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2019), 2,4-D (Queiroz et al., 2020), glyphosate, chlorimuron, and saflufenacil (Heap, 2024)</w:t>
      </w:r>
      <w:r w:rsidR="00A3066D">
        <w:rPr>
          <w:rFonts w:ascii="Times New Roman" w:hAnsi="Times New Roman" w:cs="Times New Roman"/>
          <w:sz w:val="24"/>
          <w:szCs w:val="24"/>
          <w:lang w:val="en-US"/>
        </w:rPr>
        <w:t xml:space="preserve"> have been reported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3A1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ultiple resistance to chlorimuron and glyphosate (Santos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2014), chlorimuron, glyphosate, and paraquat (Albrecht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2020a), as well as 2,4-D, diuron, glyphosate, paraquat, and saflufenacil (Pinho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2019)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A26BFC" w:rsidRPr="00A26BFC">
        <w:rPr>
          <w:rFonts w:ascii="Times New Roman" w:hAnsi="Times New Roman" w:cs="Times New Roman"/>
          <w:sz w:val="24"/>
          <w:szCs w:val="24"/>
          <w:lang w:val="en-US"/>
        </w:rPr>
        <w:t xml:space="preserve">lyphosate, </w:t>
      </w:r>
      <w:r w:rsidR="00A26BFC" w:rsidRPr="00F33B20">
        <w:rPr>
          <w:rFonts w:ascii="Times New Roman" w:hAnsi="Times New Roman" w:cs="Times New Roman"/>
          <w:sz w:val="24"/>
          <w:szCs w:val="24"/>
          <w:lang w:val="en-US"/>
        </w:rPr>
        <w:t>chlorimuron, paraquat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and 2,4-D (Lorenzetti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A26BFC">
        <w:rPr>
          <w:rFonts w:ascii="Times New Roman" w:hAnsi="Times New Roman" w:cs="Times New Roman"/>
          <w:sz w:val="24"/>
          <w:szCs w:val="24"/>
          <w:lang w:val="en-US"/>
        </w:rPr>
        <w:t xml:space="preserve">. 2024)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D3A1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been observed. </w:t>
      </w:r>
      <w:r w:rsidR="001D3A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here has been a significant increase in control failures and confirmed cases of resistance to 2,4-D. Resistance to this herbicide is associated with the rapid necrosis mechanism (Queiroz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2020; 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Angonese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2023).</w:t>
      </w:r>
    </w:p>
    <w:p w14:paraId="0C774020" w14:textId="5368DA90" w:rsidR="00A26BFC" w:rsidRPr="00A26BFC" w:rsidRDefault="0015275C" w:rsidP="00A26BFC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Rapid necrosis involves cell death due to the accumulation of reactive oxygen species (ROS), </w:t>
      </w:r>
      <w:r w:rsidR="0015520B">
        <w:rPr>
          <w:rFonts w:ascii="Times New Roman" w:hAnsi="Times New Roman" w:cs="Times New Roman"/>
          <w:sz w:val="24"/>
          <w:szCs w:val="24"/>
          <w:lang w:val="en-US"/>
        </w:rPr>
        <w:t>with subsequent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recovery of resistant plants.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plants exhibit leaf burning approximately 2 hours after application, </w:t>
      </w:r>
      <w:r w:rsidR="0092716A">
        <w:rPr>
          <w:rFonts w:ascii="Times New Roman" w:hAnsi="Times New Roman" w:cs="Times New Roman"/>
          <w:sz w:val="24"/>
          <w:szCs w:val="24"/>
          <w:lang w:val="en-US"/>
        </w:rPr>
        <w:t>followed by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regrowth </w:t>
      </w:r>
      <w:r w:rsidR="003E69C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axillary and apical buds (Queiroz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2020). Plant recovery </w:t>
      </w:r>
      <w:r w:rsidR="007B1543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occurs one to two weeks after application (Leal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2022), disrupting sequential applications with desiccant herbicides. </w:t>
      </w:r>
    </w:p>
    <w:p w14:paraId="650AD7E1" w14:textId="1F98250F" w:rsidR="00A26BFC" w:rsidRDefault="0015275C" w:rsidP="00A26BFC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Rapid necrosis is a response </w:t>
      </w:r>
      <w:r w:rsidR="00643E0F">
        <w:rPr>
          <w:rFonts w:ascii="Times New Roman" w:hAnsi="Times New Roman" w:cs="Times New Roman"/>
          <w:sz w:val="24"/>
          <w:szCs w:val="24"/>
          <w:lang w:val="en-US"/>
        </w:rPr>
        <w:t xml:space="preserve">distinct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from the common symptoms observed in susceptible plants after the application of synthetic auxins, where epinasty, leaf curling, and other leaf </w:t>
      </w:r>
      <w:r w:rsidR="00E465EF"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are common. The death of susceptible plants occurs slowly, </w:t>
      </w:r>
      <w:r w:rsidR="00963E53">
        <w:rPr>
          <w:rFonts w:ascii="Times New Roman" w:hAnsi="Times New Roman" w:cs="Times New Roman"/>
          <w:sz w:val="24"/>
          <w:szCs w:val="24"/>
          <w:lang w:val="en-US"/>
        </w:rPr>
        <w:t>typically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between 3 and 5 weeks after application (Grossmann, 2010; Peterson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2016).</w:t>
      </w:r>
    </w:p>
    <w:p w14:paraId="5050970B" w14:textId="64674BBC" w:rsidR="00A26BFC" w:rsidRDefault="0015275C" w:rsidP="00A26BFC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Similar cases can be found in the literature, such as the rapid response of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Ambrosia </w:t>
      </w:r>
      <w:proofErr w:type="spellStart"/>
      <w:r w:rsidRPr="00035F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trifida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(giant ragweed) to glyphosate application. The leaves exhibit symptoms similar to contact herbicide application and detach from the plant </w:t>
      </w:r>
      <w:r w:rsidR="00D643F5">
        <w:rPr>
          <w:rFonts w:ascii="Times New Roman" w:hAnsi="Times New Roman" w:cs="Times New Roman"/>
          <w:sz w:val="24"/>
          <w:szCs w:val="24"/>
          <w:lang w:val="en-US"/>
        </w:rPr>
        <w:t>in less than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24 hours after application, with no translocation of the herbicide to other parts of the plant (Van Horn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2018).</w:t>
      </w:r>
    </w:p>
    <w:p w14:paraId="63CCDF6F" w14:textId="33FEB16D" w:rsidR="00A26BFC" w:rsidRDefault="0015275C" w:rsidP="00A26BFC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5577ED">
        <w:rPr>
          <w:rFonts w:ascii="Times New Roman" w:hAnsi="Times New Roman" w:cs="Times New Roman"/>
          <w:sz w:val="24"/>
          <w:szCs w:val="24"/>
          <w:lang w:val="en-US"/>
        </w:rPr>
        <w:t>makes it possible to identify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evolution and spread of resistance cases, providing </w:t>
      </w:r>
      <w:r w:rsidR="005E2A2C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information for effective weed management (Ye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2016; Albrecht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2020b; Mendes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2021). Monitoring weed resistance cases is, therefore, an essential practice to understand, identify, and quantify the frequency of these resistant plants </w:t>
      </w:r>
      <w:r w:rsidR="00E60DB3">
        <w:rPr>
          <w:rFonts w:ascii="Times New Roman" w:hAnsi="Times New Roman" w:cs="Times New Roman"/>
          <w:sz w:val="24"/>
          <w:szCs w:val="24"/>
          <w:lang w:val="en-US"/>
        </w:rPr>
        <w:t>beforehand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(Schultz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2015). Thus, resistance monitoring studies </w:t>
      </w:r>
      <w:r w:rsidR="009D2EF0">
        <w:rPr>
          <w:rFonts w:ascii="Times New Roman" w:hAnsi="Times New Roman" w:cs="Times New Roman"/>
          <w:sz w:val="24"/>
          <w:szCs w:val="24"/>
          <w:lang w:val="en-US"/>
        </w:rPr>
        <w:t>lead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to increased research and the development of new techniques </w:t>
      </w:r>
      <w:r w:rsidR="009D2EF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 problematic plants, aim</w:t>
      </w:r>
      <w:r w:rsidR="009D2EF0">
        <w:rPr>
          <w:rFonts w:ascii="Times New Roman" w:hAnsi="Times New Roman" w:cs="Times New Roman"/>
          <w:sz w:val="24"/>
          <w:szCs w:val="24"/>
          <w:lang w:val="en-US"/>
        </w:rPr>
        <w:t>ed at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EF0">
        <w:rPr>
          <w:rFonts w:ascii="Times New Roman" w:hAnsi="Times New Roman" w:cs="Times New Roman"/>
          <w:sz w:val="24"/>
          <w:szCs w:val="24"/>
          <w:lang w:val="en-US"/>
        </w:rPr>
        <w:t>decreasing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selection pressure (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Bunchek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2020; Busi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2020).</w:t>
      </w:r>
    </w:p>
    <w:p w14:paraId="40544D43" w14:textId="5E5451A4" w:rsidR="0015275C" w:rsidRPr="00F33B20" w:rsidRDefault="0015275C" w:rsidP="00A26BFC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 w:rsidR="009D2EF0">
        <w:rPr>
          <w:rFonts w:ascii="Times New Roman" w:hAnsi="Times New Roman" w:cs="Times New Roman"/>
          <w:sz w:val="24"/>
          <w:szCs w:val="24"/>
          <w:lang w:val="en-US"/>
        </w:rPr>
        <w:t>respect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mapping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populations </w:t>
      </w:r>
      <w:r w:rsidR="009D2EF0">
        <w:rPr>
          <w:rFonts w:ascii="Times New Roman" w:hAnsi="Times New Roman" w:cs="Times New Roman"/>
          <w:sz w:val="24"/>
          <w:szCs w:val="24"/>
          <w:lang w:val="en-US"/>
        </w:rPr>
        <w:t>makes it possible to identify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evolution and spread of resistance cases, providing </w:t>
      </w:r>
      <w:r w:rsidR="006E2624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information for effective control decision-making. </w:t>
      </w:r>
      <w:r w:rsidR="006E2624">
        <w:rPr>
          <w:rFonts w:ascii="Times New Roman" w:hAnsi="Times New Roman" w:cs="Times New Roman"/>
          <w:sz w:val="24"/>
          <w:szCs w:val="24"/>
          <w:lang w:val="en-US"/>
        </w:rPr>
        <w:t>As such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6E2624">
        <w:rPr>
          <w:rFonts w:ascii="Times New Roman" w:hAnsi="Times New Roman" w:cs="Times New Roman"/>
          <w:sz w:val="24"/>
          <w:szCs w:val="24"/>
          <w:lang w:val="en-US"/>
        </w:rPr>
        <w:t>aim of the present study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was to identify and map herbicide-resistant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populations and </w:t>
      </w:r>
      <w:r w:rsidR="00ED32D9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resistance mechanism of rapid necrosis after the application of synthetic auxins.</w:t>
      </w:r>
    </w:p>
    <w:p w14:paraId="6844F60C" w14:textId="77777777" w:rsidR="00A26BFC" w:rsidRDefault="00A26BFC" w:rsidP="00A26BF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7A2DFE" w14:textId="77777777" w:rsidR="00A26BFC" w:rsidRDefault="0015275C" w:rsidP="00A26BF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A96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 and Methods</w:t>
      </w:r>
    </w:p>
    <w:p w14:paraId="71A1C6B5" w14:textId="77777777" w:rsidR="00A26BFC" w:rsidRDefault="00A26BFC" w:rsidP="00A26BF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6E7D8B" w14:textId="2B588C44" w:rsidR="00A26BFC" w:rsidRDefault="00A26BFC" w:rsidP="00A26BF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BFC">
        <w:rPr>
          <w:rFonts w:ascii="Times New Roman" w:hAnsi="Times New Roman" w:cs="Times New Roman"/>
          <w:b/>
          <w:bCs/>
          <w:sz w:val="24"/>
          <w:szCs w:val="24"/>
          <w:lang w:val="en-US"/>
        </w:rPr>
        <w:t>Seed collection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screening</w:t>
      </w:r>
    </w:p>
    <w:p w14:paraId="1923BDCC" w14:textId="77777777" w:rsidR="00A26BFC" w:rsidRDefault="00A26BFC" w:rsidP="00A26BF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7E27AA" w14:textId="77777777" w:rsidR="00FE69A0" w:rsidRDefault="0015275C" w:rsidP="00FE69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Seeds were collected </w:t>
      </w:r>
      <w:r w:rsidR="00B4128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 and 2021 in the states of Mato Grosso do Sul (MS) and Paraná (PR). Collections followed the methodology proposed by Burgos </w:t>
      </w:r>
      <w:r w:rsidRPr="00FE69A0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. (2013),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where seeds were </w:t>
      </w:r>
      <w:r w:rsidR="00921F53">
        <w:rPr>
          <w:rFonts w:ascii="Times New Roman" w:hAnsi="Times New Roman" w:cs="Times New Roman"/>
          <w:sz w:val="24"/>
          <w:szCs w:val="24"/>
          <w:lang w:val="en-US"/>
        </w:rPr>
        <w:t>extracted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from one or more plants with similar characteristics at targeted points of control failure after herbicide application. Some samples were also collected in areas with </w:t>
      </w:r>
      <w:r w:rsidR="00921F53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F53">
        <w:rPr>
          <w:rFonts w:ascii="Times New Roman" w:hAnsi="Times New Roman" w:cs="Times New Roman"/>
          <w:sz w:val="24"/>
          <w:szCs w:val="24"/>
          <w:lang w:val="en-US"/>
        </w:rPr>
        <w:t xml:space="preserve">herbicide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921F53">
        <w:rPr>
          <w:rFonts w:ascii="Times New Roman" w:hAnsi="Times New Roman" w:cs="Times New Roman"/>
          <w:sz w:val="24"/>
          <w:szCs w:val="24"/>
          <w:lang w:val="en-US"/>
        </w:rPr>
        <w:t>, in order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to find susceptible plants. For each location, seeds were collected from 5 to 10 plants with the same characteristics, grouped into a single sample per location (with at least 1,000 physiologically mature seeds per sample). Field materials were cleaned and stored in a refrigerated environment.</w:t>
      </w:r>
    </w:p>
    <w:p w14:paraId="2C9C4EC3" w14:textId="77777777" w:rsidR="00FE69A0" w:rsidRDefault="0015275C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>The experiment was conducted in a greenhouse under controlled temperature (25</w:t>
      </w:r>
      <w:r w:rsidR="00035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°C), irrigation of 5 mm day</w:t>
      </w:r>
      <w:r w:rsidRPr="001C31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and a 12-hour photoperiod. </w:t>
      </w:r>
      <w:r w:rsidR="00C702C6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eeds collected from each population were sown in 0.8 L plastic pots filled with germination substrate. </w:t>
      </w:r>
      <w:r w:rsidR="00AE3ABC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eedlings were transplanted after germination, with the same characteristics as the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previous 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>counterparts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with two plants per pot. The plants showed no signs of 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 xml:space="preserve">transplantation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stress.</w:t>
      </w:r>
    </w:p>
    <w:p w14:paraId="728426CE" w14:textId="77777777" w:rsidR="00FE69A0" w:rsidRDefault="0015275C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 completely randomized design with 8 treatments and 4 replications was used. The treatments consisted of 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herbicide applications: diquat (Reglone®, 400 g active ingredient [ai]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 + adjuvant (Agral®, 2 L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), saflufenacil (Heat®, 35 g ai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 + adjuvant composed of soybean methyl ester (Mees™, 0.5 L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), glufosinate (Finale®, 500 g ai ha</w:t>
      </w:r>
      <w:r w:rsidRPr="009600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 + adjuvant composed of soybean methyl ester (0.5 L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), 2,4-D (Aminol® 806, 1,005 g </w:t>
      </w:r>
      <w:r w:rsidR="009A6610">
        <w:rPr>
          <w:rFonts w:ascii="Times New Roman" w:hAnsi="Times New Roman" w:cs="Times New Roman"/>
          <w:sz w:val="24"/>
          <w:szCs w:val="24"/>
          <w:lang w:val="en-US"/>
        </w:rPr>
        <w:t xml:space="preserve">acid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equivalent [</w:t>
      </w:r>
      <w:r w:rsidR="009A66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e]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), triclopyr (Triclon®, 960 g </w:t>
      </w:r>
      <w:r w:rsidR="009A66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e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 + mineral oil (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Lanzar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>®, 0.5 L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), dicamba (Atectra®, 480 g a</w:t>
      </w:r>
      <w:r w:rsidR="009A66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 + adjuvant composed of soybean methyl ester (0.5 L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), glyphosate (Roundup Ready®, 1,200 g a</w:t>
      </w:r>
      <w:r w:rsidR="009A66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), and a control with </w:t>
      </w:r>
      <w:r w:rsidR="009A6610">
        <w:rPr>
          <w:rFonts w:ascii="Times New Roman" w:hAnsi="Times New Roman" w:cs="Times New Roman"/>
          <w:sz w:val="24"/>
          <w:szCs w:val="24"/>
          <w:lang w:val="en-US"/>
        </w:rPr>
        <w:t xml:space="preserve">no herbicide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application. 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oses 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3CB">
        <w:rPr>
          <w:rFonts w:ascii="Times New Roman" w:hAnsi="Times New Roman" w:cs="Times New Roman"/>
          <w:sz w:val="24"/>
          <w:szCs w:val="24"/>
          <w:lang w:val="en-US"/>
        </w:rPr>
        <w:t xml:space="preserve">were within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the recommended range (Rodrigues &amp; Almeida, 2018), according to common usage by farmers in the region. Application occurred at the 6-leaf stage, using a pressurized CO</w:t>
      </w:r>
      <w:r w:rsidRPr="00035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sprayer at a constant pressure of 2 kgf cm</w:t>
      </w:r>
      <w:r w:rsidRPr="001C31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, with a</w:t>
      </w:r>
      <w:r w:rsidR="00F83C0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F83C05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AIXR 110.015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four-nozzle flat-fan boom (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TeeJet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>Technologies, Wheaton, IL), p</w:t>
      </w:r>
      <w:r w:rsidR="00F83C05">
        <w:rPr>
          <w:rFonts w:ascii="Times New Roman" w:hAnsi="Times New Roman" w:cs="Times New Roman"/>
          <w:sz w:val="24"/>
          <w:szCs w:val="24"/>
          <w:lang w:val="en-US"/>
        </w:rPr>
        <w:t>laced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0.50 m from the target and at a speed of 1 m s</w:t>
      </w:r>
      <w:r w:rsidRPr="001C31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, providing a total spray volume of 150 L ha</w:t>
      </w:r>
      <w:r w:rsidRPr="001C31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B66E95" w14:textId="77777777" w:rsidR="00FE69A0" w:rsidRDefault="0015275C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Control was assessed at 28 days after application (DAA), assigning visual scores to each experimental unit, where 0 represents no damage and 100% plant death (Velini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1995). Control scores were used to classify </w:t>
      </w:r>
      <w:r w:rsidR="00F955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samples, considering those with values &lt;80% as possibly resistant.</w:t>
      </w:r>
    </w:p>
    <w:p w14:paraId="36BF181F" w14:textId="12D68B9B" w:rsidR="00A26BFC" w:rsidRPr="00FE69A0" w:rsidRDefault="0015275C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Control was also </w:t>
      </w:r>
      <w:r w:rsidR="00F955C0"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24 hours after application (HAA) of synthetic auxins to </w:t>
      </w:r>
      <w:r w:rsidR="000E1CE8">
        <w:rPr>
          <w:rFonts w:ascii="Times New Roman" w:hAnsi="Times New Roman" w:cs="Times New Roman"/>
          <w:sz w:val="24"/>
          <w:szCs w:val="24"/>
          <w:lang w:val="en-US"/>
        </w:rPr>
        <w:t xml:space="preserve">check for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rapid necrosis symptoms. Rapid necrosis is characterized by leaf necrosis a</w:t>
      </w:r>
      <w:r w:rsidR="00CA1610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 HAA, and subsequently, plants exhibit regrowth in axillary and apical buds (Queiroz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2020). In addition to observing this symptomatology, it was determined that plants with scores &gt;15% at 24 HAA </w:t>
      </w:r>
      <w:r w:rsidR="00CA1610">
        <w:rPr>
          <w:rFonts w:ascii="Times New Roman" w:hAnsi="Times New Roman" w:cs="Times New Roman"/>
          <w:sz w:val="24"/>
          <w:szCs w:val="24"/>
          <w:lang w:val="en-US"/>
        </w:rPr>
        <w:t>displayed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rapid necrosis, due to the visual intensity of symptom progression, </w:t>
      </w:r>
      <w:r w:rsidR="00CC2FF1">
        <w:rPr>
          <w:rFonts w:ascii="Times New Roman" w:hAnsi="Times New Roman" w:cs="Times New Roman"/>
          <w:sz w:val="24"/>
          <w:szCs w:val="24"/>
          <w:lang w:val="en-US"/>
        </w:rPr>
        <w:t>given that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typical symptoms of synthetic auxin application in susceptible plants take longer to </w:t>
      </w:r>
      <w:r w:rsidR="00070F63">
        <w:rPr>
          <w:rFonts w:ascii="Times New Roman" w:hAnsi="Times New Roman" w:cs="Times New Roman"/>
          <w:sz w:val="24"/>
          <w:szCs w:val="24"/>
          <w:lang w:val="en-US"/>
        </w:rPr>
        <w:t>appear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and are less noticeable at 24 HAA.</w:t>
      </w:r>
    </w:p>
    <w:p w14:paraId="3F619299" w14:textId="77777777" w:rsidR="00A26BFC" w:rsidRDefault="00A26BFC" w:rsidP="00FE69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8CE865" w14:textId="77777777" w:rsidR="00FE69A0" w:rsidRDefault="00A26BFC" w:rsidP="00FE69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BFC">
        <w:rPr>
          <w:rFonts w:ascii="Times New Roman" w:hAnsi="Times New Roman" w:cs="Times New Roman"/>
          <w:b/>
          <w:bCs/>
          <w:sz w:val="24"/>
          <w:szCs w:val="24"/>
          <w:lang w:val="en"/>
        </w:rPr>
        <w:t>Dose-response curve</w:t>
      </w:r>
    </w:p>
    <w:p w14:paraId="30568CD8" w14:textId="77777777" w:rsidR="00FE69A0" w:rsidRDefault="00FE69A0" w:rsidP="00FE69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E3EC4D" w14:textId="77777777" w:rsidR="00FE69A0" w:rsidRDefault="00035F57" w:rsidP="00FE69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F57">
        <w:rPr>
          <w:rFonts w:ascii="Times New Roman" w:hAnsi="Times New Roman" w:cs="Times New Roman"/>
          <w:sz w:val="24"/>
          <w:szCs w:val="24"/>
          <w:lang w:val="en"/>
        </w:rPr>
        <w:t>A dose-response curve (F</w:t>
      </w:r>
      <w:r w:rsidRPr="00FE69A0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generation) was performed with an accession (B19), identified as Sumatran </w:t>
      </w:r>
      <w:r w:rsidR="009E738B" w:rsidRPr="00035F57">
        <w:rPr>
          <w:rFonts w:ascii="Times New Roman" w:hAnsi="Times New Roman" w:cs="Times New Roman"/>
          <w:sz w:val="24"/>
          <w:szCs w:val="24"/>
          <w:lang w:val="en"/>
        </w:rPr>
        <w:t>fleabane,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and collected in Palotina - PR (24°22'59.0"S 53°42'48.5"W), which was classified as possibly resistant (&lt;80% control), the susceptible accession (B14) was collected in Itaquiraí - MS (23°22'15.6"S 54°05'22.9"W). The same screening methodology was followed for sowing and transplanting under the same conditions of location, environment, pots, substrate, </w:t>
      </w:r>
      <w:r w:rsidR="009E738B" w:rsidRPr="00035F57">
        <w:rPr>
          <w:rFonts w:ascii="Times New Roman" w:hAnsi="Times New Roman" w:cs="Times New Roman"/>
          <w:sz w:val="24"/>
          <w:szCs w:val="24"/>
          <w:lang w:val="en"/>
        </w:rPr>
        <w:t>design,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and number of replications. Doses of 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50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100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800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600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3,200 g ai ha 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>of diquat and 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 125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 251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>502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 1,005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 2,010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lastRenderedPageBreak/>
        <w:t>4,020 and 8,040 g a</w:t>
      </w:r>
      <w:r w:rsidR="00FE69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 ha </w:t>
      </w:r>
      <w:r w:rsidRPr="00035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>of 2,4-D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  <w:lang w:val="en-US"/>
        </w:rPr>
        <w:t xml:space="preserve">were used. 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The doses used for each herbicide corresponded to 0, 1/8x, 1/4x, 1/2x, 1x, 2x, 4x and 8x the dose used in screening.</w:t>
      </w:r>
    </w:p>
    <w:p w14:paraId="64EC7858" w14:textId="15548AFC" w:rsidR="00035F57" w:rsidRPr="00FE69A0" w:rsidRDefault="00035F57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F57">
        <w:rPr>
          <w:rFonts w:ascii="Times New Roman" w:hAnsi="Times New Roman" w:cs="Times New Roman"/>
          <w:sz w:val="24"/>
          <w:szCs w:val="24"/>
          <w:lang w:val="en"/>
        </w:rPr>
        <w:t>Control was evaluated at 28 DAA according to the same methodology used in screening. The data were subjected to regression analysis (p &lt; 0.05) and adjusted to the proposed non-linear logistic regression model (Streibig</w:t>
      </w:r>
      <w:r w:rsidR="00FE69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1988).</w:t>
      </w:r>
    </w:p>
    <w:p w14:paraId="5ED1A2EE" w14:textId="1EC0C508" w:rsidR="00035F57" w:rsidRPr="00035F57" w:rsidRDefault="00035F57" w:rsidP="00FE69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"/>
            </w:rPr>
            <m:t>y=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a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"/>
                                </w:rPr>
                                <m:t>b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"/>
                        </w:rPr>
                        <m:t>c</m:t>
                      </m:r>
                    </m:sup>
                  </m:sSup>
                </m:e>
              </m:d>
            </m:den>
          </m:f>
        </m:oMath>
      </m:oMathPara>
    </w:p>
    <w:p w14:paraId="2B6471EF" w14:textId="4328609D" w:rsidR="00035F57" w:rsidRPr="00035F57" w:rsidRDefault="00035F57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F57">
        <w:rPr>
          <w:rFonts w:ascii="Times New Roman" w:hAnsi="Times New Roman" w:cs="Times New Roman"/>
          <w:sz w:val="24"/>
          <w:szCs w:val="24"/>
          <w:lang w:val="en"/>
        </w:rPr>
        <w:t>The non-linear logistic model provides a dose estimate to obtain the 50% control value (C</w:t>
      </w:r>
      <w:r w:rsidRPr="00035F57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50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). Therefore, we opted for the mathematical calculation using the inverse equation of Streibig (1988), allowing the calculation of C</w:t>
      </w:r>
      <w:r w:rsidRPr="00035F57">
        <w:rPr>
          <w:rFonts w:ascii="Times New Roman" w:hAnsi="Times New Roman" w:cs="Times New Roman"/>
          <w:sz w:val="24"/>
          <w:szCs w:val="24"/>
          <w:vertAlign w:val="subscript"/>
          <w:lang w:val="en"/>
        </w:rPr>
        <w:t xml:space="preserve">50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, as proposed by Souza </w:t>
      </w:r>
      <w:r w:rsidRPr="00FE69A0">
        <w:rPr>
          <w:rFonts w:ascii="Times New Roman" w:hAnsi="Times New Roman" w:cs="Times New Roman"/>
          <w:i/>
          <w:iCs/>
          <w:sz w:val="24"/>
          <w:szCs w:val="24"/>
          <w:lang w:val="en"/>
        </w:rPr>
        <w:t>et al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. (2000). Based on the C</w:t>
      </w:r>
      <w:r w:rsidRPr="00035F57">
        <w:rPr>
          <w:rFonts w:ascii="Times New Roman" w:hAnsi="Times New Roman" w:cs="Times New Roman"/>
          <w:sz w:val="24"/>
          <w:szCs w:val="24"/>
          <w:vertAlign w:val="subscript"/>
          <w:lang w:val="en"/>
        </w:rPr>
        <w:t xml:space="preserve">50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values, the resistance factor (R</w:t>
      </w:r>
      <w:r>
        <w:rPr>
          <w:rFonts w:ascii="Times New Roman" w:hAnsi="Times New Roman" w:cs="Times New Roman"/>
          <w:sz w:val="24"/>
          <w:szCs w:val="24"/>
          <w:lang w:val="en"/>
        </w:rPr>
        <w:t>F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) was determined, which is the result of the ratio between the parameters of the resistant and susceptible biotype (Burgos, 2015; Takano </w:t>
      </w:r>
      <w:r w:rsidR="00A26BFC" w:rsidRPr="00A26BFC">
        <w:rPr>
          <w:rFonts w:ascii="Times New Roman" w:hAnsi="Times New Roman" w:cs="Times New Roman"/>
          <w:i/>
          <w:iCs/>
          <w:sz w:val="24"/>
          <w:szCs w:val="24"/>
          <w:lang w:val="en"/>
        </w:rPr>
        <w:t>et al.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 2017).</w:t>
      </w:r>
    </w:p>
    <w:p w14:paraId="47739FC3" w14:textId="1B5C872E" w:rsidR="00035F57" w:rsidRPr="00035F57" w:rsidRDefault="00035F57" w:rsidP="00FE69A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x=b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den>
              </m:f>
            </m:sup>
          </m:sSup>
        </m:oMath>
      </m:oMathPara>
    </w:p>
    <w:p w14:paraId="1FEE22A6" w14:textId="598A99BA" w:rsidR="00035F57" w:rsidRPr="00035F57" w:rsidRDefault="00035F57" w:rsidP="00FE69A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y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is the response variable (percentage of control or dry mass);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x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is the herbicide dose;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a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is the range between the maximum and minimum point of the variable;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b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 xml:space="preserve">is the dose that provides a 50% response and </w:t>
      </w:r>
      <w:r w:rsidRPr="00035F5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c </w:t>
      </w:r>
      <w:r w:rsidRPr="00035F57">
        <w:rPr>
          <w:rFonts w:ascii="Times New Roman" w:hAnsi="Times New Roman" w:cs="Times New Roman"/>
          <w:sz w:val="24"/>
          <w:szCs w:val="24"/>
          <w:lang w:val="en"/>
        </w:rPr>
        <w:t>is the slope of the curve.</w:t>
      </w:r>
    </w:p>
    <w:p w14:paraId="1A606091" w14:textId="77777777" w:rsidR="00FE69A0" w:rsidRDefault="00FE69A0" w:rsidP="00FE69A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45DA15" w14:textId="2088DF54" w:rsidR="0015275C" w:rsidRPr="00035F57" w:rsidRDefault="0015275C" w:rsidP="00FE69A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A96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</w:t>
      </w:r>
      <w:r w:rsidR="00FF45B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13F4ABFC" w14:textId="77777777" w:rsidR="00FE69A0" w:rsidRDefault="00FE69A0" w:rsidP="00FE69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E7BB8A" w14:textId="02180BBF" w:rsidR="00FE69A0" w:rsidRPr="00FE69A0" w:rsidRDefault="00FE69A0" w:rsidP="00FE69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69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Mapping and identification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Pr="00FE69A0">
        <w:rPr>
          <w:rFonts w:ascii="Times New Roman" w:hAnsi="Times New Roman" w:cs="Times New Roman"/>
          <w:b/>
          <w:bCs/>
          <w:sz w:val="24"/>
          <w:szCs w:val="24"/>
          <w:lang w:val="en-US"/>
        </w:rPr>
        <w:t>herbicide-resistant fleabane</w:t>
      </w:r>
    </w:p>
    <w:p w14:paraId="554F3377" w14:textId="77777777" w:rsidR="00A15B14" w:rsidRDefault="00A15B14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AA7277" w14:textId="422B9241" w:rsidR="00FE69A0" w:rsidRDefault="0015275C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 total of 60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were collected, </w:t>
      </w:r>
      <w:r w:rsidR="00F62AEE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of which were classified as possibly resistant (&gt;80% control) to diquat</w:t>
      </w:r>
      <w:r w:rsidR="00D85A2B">
        <w:rPr>
          <w:rFonts w:ascii="Times New Roman" w:hAnsi="Times New Roman" w:cs="Times New Roman"/>
          <w:sz w:val="24"/>
          <w:szCs w:val="24"/>
          <w:lang w:val="en-US"/>
        </w:rPr>
        <w:t xml:space="preserve"> (Table 1)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. Diquat resistance was confirmed by the dose-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response curve </w:t>
      </w:r>
      <w:r w:rsidR="000E1CE8">
        <w:rPr>
          <w:rFonts w:ascii="Times New Roman" w:hAnsi="Times New Roman" w:cs="Times New Roman"/>
          <w:sz w:val="24"/>
          <w:szCs w:val="24"/>
          <w:lang w:val="en-US"/>
        </w:rPr>
        <w:t>constructed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for the Sumatran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B19</w:t>
      </w:r>
      <w:r w:rsidR="0007771C">
        <w:rPr>
          <w:rFonts w:ascii="Times New Roman" w:hAnsi="Times New Roman" w:cs="Times New Roman"/>
          <w:sz w:val="24"/>
          <w:szCs w:val="24"/>
          <w:lang w:val="en-US"/>
        </w:rPr>
        <w:t xml:space="preserve"> accession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Pr="00FE69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generation), with a C</w:t>
      </w:r>
      <w:r w:rsidRPr="00781B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value of 518.3 g ai ha</w:t>
      </w:r>
      <w:r w:rsidRPr="00781B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for the resistant accession and 41.8 g ai ha</w:t>
      </w:r>
      <w:r w:rsidRPr="00781B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for the susceptible accession, resulting in a R</w:t>
      </w:r>
      <w:r w:rsidR="009E290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of 12.4 (Figure </w:t>
      </w:r>
      <w:r w:rsidR="00D33F5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064A81F" w14:textId="6AE24943" w:rsidR="00A15B14" w:rsidRDefault="0015275C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>For saflufenacil or glufosinate, no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was classified as possibly resistant, with a</w:t>
      </w:r>
      <w:r w:rsidR="00804071">
        <w:rPr>
          <w:rFonts w:ascii="Times New Roman" w:hAnsi="Times New Roman" w:cs="Times New Roman"/>
          <w:sz w:val="24"/>
          <w:szCs w:val="24"/>
          <w:lang w:val="en-US"/>
        </w:rPr>
        <w:t>t least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93.5</w:t>
      </w:r>
      <w:r w:rsidR="00804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or 94.5%</w:t>
      </w:r>
      <w:r w:rsidR="00804071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9E29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0A">
        <w:rPr>
          <w:rFonts w:ascii="Times New Roman" w:hAnsi="Times New Roman" w:cs="Times New Roman"/>
          <w:sz w:val="24"/>
          <w:szCs w:val="24"/>
          <w:lang w:val="en-US"/>
        </w:rPr>
        <w:t>whereas f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or glyphosate</w:t>
      </w:r>
      <w:r w:rsidR="009E29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widespread distribution of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resistance is evident, with only one accession not classified as possibly resistant</w:t>
      </w:r>
      <w:r w:rsidR="00D85A2B">
        <w:rPr>
          <w:rFonts w:ascii="Times New Roman" w:hAnsi="Times New Roman" w:cs="Times New Roman"/>
          <w:sz w:val="24"/>
          <w:szCs w:val="24"/>
          <w:lang w:val="en-US"/>
        </w:rPr>
        <w:t xml:space="preserve"> (Table 1)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0E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he accession </w:t>
      </w:r>
      <w:r w:rsidR="005D0E34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="003A554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dose-response curve for other herbicides would</w:t>
      </w:r>
      <w:r w:rsidR="005D0E34"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 w:rsidR="00961D30">
        <w:rPr>
          <w:rFonts w:ascii="Times New Roman" w:hAnsi="Times New Roman" w:cs="Times New Roman"/>
          <w:sz w:val="24"/>
          <w:szCs w:val="24"/>
          <w:lang w:val="en-US"/>
        </w:rPr>
        <w:t>st likely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be classified as resistant to glyphosate, </w:t>
      </w:r>
      <w:r w:rsidR="00961D30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B5609A">
        <w:rPr>
          <w:rFonts w:ascii="Times New Roman" w:hAnsi="Times New Roman" w:cs="Times New Roman"/>
          <w:sz w:val="24"/>
          <w:szCs w:val="24"/>
          <w:lang w:val="en-US"/>
        </w:rPr>
        <w:t>, in screening,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3A5545" w:rsidRPr="00F33B20">
        <w:rPr>
          <w:rFonts w:ascii="Times New Roman" w:hAnsi="Times New Roman" w:cs="Times New Roman"/>
          <w:sz w:val="24"/>
          <w:szCs w:val="24"/>
          <w:lang w:val="en-US"/>
        </w:rPr>
        <w:t>was only 2%</w:t>
      </w:r>
      <w:r w:rsidR="003A5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at 28 DAA for this accession</w:t>
      </w:r>
      <w:r w:rsidR="003A55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7A5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8B">
        <w:rPr>
          <w:rFonts w:ascii="Times New Roman" w:hAnsi="Times New Roman" w:cs="Times New Roman"/>
          <w:sz w:val="24"/>
          <w:szCs w:val="24"/>
          <w:lang w:val="en-US"/>
        </w:rPr>
        <w:t xml:space="preserve">it was not tested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due to germination failures and operational issues.</w:t>
      </w:r>
    </w:p>
    <w:p w14:paraId="7FF2FBF8" w14:textId="77777777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340C34" w14:textId="386FB9BA" w:rsidR="00A15B14" w:rsidRPr="00A15B14" w:rsidRDefault="00A15B14" w:rsidP="00A73BD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5B14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Investigation of 2,4-D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-resistant fleabane</w:t>
      </w:r>
      <w:r w:rsidRPr="00A15B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the mechanism of rapid necrosis</w:t>
      </w:r>
    </w:p>
    <w:p w14:paraId="5D0131D7" w14:textId="77777777" w:rsidR="00A15B14" w:rsidRDefault="00A15B14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1165C5" w14:textId="77777777" w:rsidR="00A15B14" w:rsidRDefault="0015275C" w:rsidP="00A15B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In the analysis of synthetic auxin application, rapid necrosis symptoms were observed for 2,4-D in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plants. </w:t>
      </w:r>
      <w:r w:rsidR="003A55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f the 60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3A5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545" w:rsidRPr="00F33B20"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only 16 </w:t>
      </w:r>
      <w:r w:rsidR="003A5545">
        <w:rPr>
          <w:rFonts w:ascii="Times New Roman" w:hAnsi="Times New Roman" w:cs="Times New Roman"/>
          <w:sz w:val="24"/>
          <w:szCs w:val="24"/>
          <w:lang w:val="en-US"/>
        </w:rPr>
        <w:t xml:space="preserve">showed no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rapid necrosis (&lt;15% control) (Table 2). </w:t>
      </w:r>
      <w:r w:rsidR="004076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with rapid necrosis occur in both states (Figure </w:t>
      </w:r>
      <w:r w:rsidR="00D33F5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71518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715180" w:rsidRPr="00F33B20">
        <w:rPr>
          <w:rFonts w:ascii="Times New Roman" w:hAnsi="Times New Roman" w:cs="Times New Roman"/>
          <w:sz w:val="24"/>
          <w:szCs w:val="24"/>
          <w:lang w:val="en-US"/>
        </w:rPr>
        <w:t>o rapid necrosis was observed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1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or triclopyr and dicamba</w:t>
      </w:r>
      <w:r w:rsidR="002D5EDA">
        <w:rPr>
          <w:rFonts w:ascii="Times New Roman" w:hAnsi="Times New Roman" w:cs="Times New Roman"/>
          <w:sz w:val="24"/>
          <w:szCs w:val="24"/>
          <w:lang w:val="en-US"/>
        </w:rPr>
        <w:t xml:space="preserve"> in any of the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(Table 2).</w:t>
      </w:r>
    </w:p>
    <w:p w14:paraId="61B28663" w14:textId="29B534B2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9F2C02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analysis at 28 DAA (Table 2), all synthetic auxins showed efficacy above 80%, indicating no resistance. This is valid for triclopyr, dicamba, </w:t>
      </w:r>
      <w:r w:rsidR="00A76A8C" w:rsidRPr="00F33B20">
        <w:rPr>
          <w:rFonts w:ascii="Times New Roman" w:hAnsi="Times New Roman" w:cs="Times New Roman"/>
          <w:sz w:val="24"/>
          <w:szCs w:val="24"/>
          <w:lang w:val="en-US"/>
        </w:rPr>
        <w:t>and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where 2,4-D did not cause rapid necrosis. However, the 44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with rapid necrosis </w:t>
      </w:r>
      <w:r w:rsidR="00D92E1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>24 HAA</w:t>
      </w:r>
      <w:r w:rsidR="00407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E13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2,4-D</w:t>
      </w:r>
      <w:r w:rsidR="00D92E13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identified as a </w:t>
      </w:r>
      <w:r w:rsidR="001B438D">
        <w:rPr>
          <w:rFonts w:ascii="Times New Roman" w:hAnsi="Times New Roman" w:cs="Times New Roman"/>
          <w:sz w:val="24"/>
          <w:szCs w:val="24"/>
          <w:lang w:val="en-US"/>
        </w:rPr>
        <w:t xml:space="preserve">mechanism of 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resistance </w:t>
      </w:r>
      <w:r w:rsidR="001B43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o this herbicide, can be classified as possibly resistant to 2,4-D. </w:t>
      </w:r>
      <w:r w:rsidR="00223B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3B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23BB2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223BB2" w:rsidRPr="00F33B20">
        <w:rPr>
          <w:rFonts w:ascii="Times New Roman" w:hAnsi="Times New Roman" w:cs="Times New Roman"/>
          <w:sz w:val="24"/>
          <w:szCs w:val="24"/>
          <w:lang w:val="en-US"/>
        </w:rPr>
        <w:t>explained</w:t>
      </w:r>
      <w:r w:rsidR="00223BB2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ontrol above 80% at 28 DAA may be related to the developmental stage of the plants. It is </w:t>
      </w:r>
      <w:r w:rsidR="0039088B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39088B">
        <w:rPr>
          <w:rFonts w:ascii="Times New Roman" w:hAnsi="Times New Roman" w:cs="Times New Roman"/>
          <w:sz w:val="24"/>
          <w:szCs w:val="24"/>
          <w:lang w:val="en-US"/>
        </w:rPr>
        <w:lastRenderedPageBreak/>
        <w:t>to note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that 2,4-D resistance was confirmed by the dose-response curve </w:t>
      </w:r>
      <w:r w:rsidR="00976561">
        <w:rPr>
          <w:rFonts w:ascii="Times New Roman" w:hAnsi="Times New Roman" w:cs="Times New Roman"/>
          <w:sz w:val="24"/>
          <w:szCs w:val="24"/>
          <w:lang w:val="en-US"/>
        </w:rPr>
        <w:t xml:space="preserve">constructed 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for the Sumatran </w:t>
      </w:r>
      <w:r w:rsidR="0027664D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B19 accession (F</w:t>
      </w:r>
      <w:r w:rsidR="0015275C" w:rsidRPr="00A15B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generation), with a C</w:t>
      </w:r>
      <w:r w:rsidR="0015275C" w:rsidRPr="00D33F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value for the resistant accession of 1,986.6 and 699.3 g a</w:t>
      </w:r>
      <w:r w:rsidR="00976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15275C" w:rsidRPr="001C31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for the susceptible accession, resulting in an </w:t>
      </w:r>
      <w:r w:rsidR="0097656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F of 2.8 (Figure </w:t>
      </w:r>
      <w:r w:rsidR="00D33F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>), reinforcing the classification of access</w:t>
      </w:r>
      <w:r w:rsidR="007F41C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15275C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with rapid necrosis by screening as possibly resistant to 2,4-D. </w:t>
      </w:r>
    </w:p>
    <w:p w14:paraId="2602FB64" w14:textId="77777777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680AAA" w14:textId="11294717" w:rsidR="00FF45B2" w:rsidRPr="00035F57" w:rsidRDefault="00FF45B2" w:rsidP="00FF45B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A96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Discussion</w:t>
      </w:r>
    </w:p>
    <w:p w14:paraId="72778DAE" w14:textId="77777777" w:rsidR="00C53368" w:rsidRDefault="00C53368" w:rsidP="00FF45B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553778" w14:textId="64D24A41" w:rsidR="00FF45B2" w:rsidRDefault="00FF45B2" w:rsidP="00FF45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or glyphosate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widespread distribution of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resistance is evident, with only one accession not classified as possibly resistant. Other studies have also observed </w:t>
      </w:r>
      <w:r>
        <w:rPr>
          <w:rFonts w:ascii="Times New Roman" w:hAnsi="Times New Roman" w:cs="Times New Roman"/>
          <w:sz w:val="24"/>
          <w:szCs w:val="24"/>
          <w:lang w:val="en-US"/>
        </w:rPr>
        <w:t>extensive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distribution of glyphosate-resistant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in PR and MS in recent years (Lucio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2019; Mendes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2021). </w:t>
      </w:r>
    </w:p>
    <w:p w14:paraId="363DE0EB" w14:textId="77777777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The use of management strategies is </w:t>
      </w:r>
      <w:r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for success</w:t>
      </w:r>
      <w:r>
        <w:rPr>
          <w:rFonts w:ascii="Times New Roman" w:hAnsi="Times New Roman" w:cs="Times New Roman"/>
          <w:sz w:val="24"/>
          <w:szCs w:val="24"/>
          <w:lang w:val="en-US"/>
        </w:rPr>
        <w:t>ful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control, </w:t>
      </w: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cultivation system in the region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repeated use of the same herbicide </w:t>
      </w:r>
      <w:r>
        <w:rPr>
          <w:rFonts w:ascii="Times New Roman" w:hAnsi="Times New Roman" w:cs="Times New Roman"/>
          <w:sz w:val="24"/>
          <w:szCs w:val="24"/>
          <w:lang w:val="en-US"/>
        </w:rPr>
        <w:t>have resulted in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the selection of </w:t>
      </w:r>
      <w:r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resistance cases. However, based on the results, products such as glufosinate and saflufenacil are still excellent tools in controlling this weed. Glufosinate and saflufenacil can be applied in soybean pre-seeding, used alone, in combination with each other, or with glyphosate, and synergistic effects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observed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for these mixtures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 (Waggoner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2011; 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Dalazen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2015; Takano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2020; Albrecht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2022a, 2023). </w:t>
      </w:r>
      <w:r>
        <w:rPr>
          <w:rFonts w:ascii="Times New Roman" w:hAnsi="Times New Roman" w:cs="Times New Roman"/>
          <w:sz w:val="24"/>
          <w:szCs w:val="24"/>
          <w:lang w:val="en-US"/>
        </w:rPr>
        <w:t>Given that g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lyphosate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widely used, resistant populations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broad</w:t>
      </w:r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distribut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but when associated with other products, it can still be a tool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control, </w:t>
      </w: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it can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 when combined with other herbicides (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Dalazen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2015).</w:t>
      </w:r>
    </w:p>
    <w:p w14:paraId="7EEA678A" w14:textId="77777777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>In general, diquat is no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effective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control, a fact directly linked to its chemical proximity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paraquat, both derived from bipyridylium compounds (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Bromilow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2004). Paraquat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formerly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one of the main tools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and, due to its </w:t>
      </w:r>
      <w:r>
        <w:rPr>
          <w:rFonts w:ascii="Times New Roman" w:hAnsi="Times New Roman" w:cs="Times New Roman"/>
          <w:sz w:val="24"/>
          <w:szCs w:val="24"/>
          <w:lang w:val="en-US"/>
        </w:rPr>
        <w:t>widespread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use, faced </w:t>
      </w:r>
      <w:r>
        <w:rPr>
          <w:rFonts w:ascii="Times New Roman" w:hAnsi="Times New Roman" w:cs="Times New Roman"/>
          <w:sz w:val="24"/>
          <w:szCs w:val="24"/>
          <w:lang w:val="en-US"/>
        </w:rPr>
        <w:t>considerable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selection pressure in resistant access</w:t>
      </w:r>
      <w:r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(Zobiole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2019). After this molecule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banned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replaced by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diquat in pre-planting and pre-harvest desiccations (Albrecht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2022b). However, due to their shared mechanism of action and chemical group, control failures have been observed in many locations where </w:t>
      </w:r>
      <w:r>
        <w:rPr>
          <w:rFonts w:ascii="Times New Roman" w:hAnsi="Times New Roman" w:cs="Times New Roman"/>
          <w:sz w:val="24"/>
          <w:szCs w:val="24"/>
          <w:lang w:val="en-US"/>
        </w:rPr>
        <w:t>paraquat-resistant 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were identified.</w:t>
      </w:r>
    </w:p>
    <w:p w14:paraId="39BC1369" w14:textId="77777777" w:rsidR="00FF45B2" w:rsidRDefault="00FF45B2" w:rsidP="00C53368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is important to note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despite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exhibiting the rapid necrosis resistance mechanism after 2,4-D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young plants may not regrow and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eventually die (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Angonese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2023).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he intense manifestation of rapid necrosis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produces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symptoms similar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of contact herbicides, leading the young plant to </w:t>
      </w:r>
      <w:r w:rsidRPr="00971665">
        <w:rPr>
          <w:rFonts w:ascii="Times New Roman" w:hAnsi="Times New Roman" w:cs="Times New Roman"/>
          <w:sz w:val="24"/>
          <w:szCs w:val="24"/>
          <w:lang w:val="en-US"/>
        </w:rPr>
        <w:t xml:space="preserve">death. In this study, the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application was at the 6-leaf stage. The more advanced the stage, the greater the chance and speed of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regrowth. </w:t>
      </w:r>
    </w:p>
    <w:p w14:paraId="7F41879F" w14:textId="133CDB2A" w:rsidR="00FF45B2" w:rsidRDefault="007425B1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analysis all synthetic auxins showed efficacy above 80%, indicating no resistance. This is valid for triclopyr, dicamba, and access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where 2,4-D did not cause rapid necrosis. However,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with rapid necrosis 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2,4-D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identified as a 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 xml:space="preserve">mechanism of 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resistance </w:t>
      </w:r>
      <w:r w:rsidR="00FF45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o this herbicide (Queiroz </w:t>
      </w:r>
      <w:r w:rsidR="00FF45B2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2020; </w:t>
      </w:r>
      <w:proofErr w:type="spellStart"/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>Angonese</w:t>
      </w:r>
      <w:proofErr w:type="spellEnd"/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B2"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FF45B2"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2023), can be classified as possibly resistant to 2,4-D. </w:t>
      </w:r>
    </w:p>
    <w:p w14:paraId="0FFCCEDC" w14:textId="77777777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Rapid necrosis is a different response from the common symptomatology in susceptible plants after synthetic auxin application (Leal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2022; </w:t>
      </w:r>
      <w:proofErr w:type="spellStart"/>
      <w:r w:rsidRPr="00F33B20">
        <w:rPr>
          <w:rFonts w:ascii="Times New Roman" w:hAnsi="Times New Roman" w:cs="Times New Roman"/>
          <w:sz w:val="24"/>
          <w:szCs w:val="24"/>
          <w:lang w:val="en-US"/>
        </w:rPr>
        <w:t>Angonese</w:t>
      </w:r>
      <w:proofErr w:type="spellEnd"/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epinasty, curling, and other leaf changes are common. The death of susceptible plants occurs slowly, usually between 3 and 5 weeks after application (Grossmann 2010; Peterson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2016). </w:t>
      </w:r>
    </w:p>
    <w:p w14:paraId="70987734" w14:textId="77777777" w:rsidR="00FF45B2" w:rsidRPr="00F33B20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B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Given that populations resistant to diquat and 2,4-D are </w:t>
      </w:r>
      <w:r>
        <w:rPr>
          <w:rFonts w:ascii="Times New Roman" w:hAnsi="Times New Roman" w:cs="Times New Roman"/>
          <w:sz w:val="24"/>
          <w:szCs w:val="24"/>
          <w:lang w:val="en-US"/>
        </w:rPr>
        <w:t>increasingly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frequent, management </w:t>
      </w:r>
      <w:r>
        <w:rPr>
          <w:rFonts w:ascii="Times New Roman" w:hAnsi="Times New Roman" w:cs="Times New Roman"/>
          <w:sz w:val="24"/>
          <w:szCs w:val="24"/>
          <w:lang w:val="en-US"/>
        </w:rPr>
        <w:t>practices must be adapted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with alternatives for these herbicides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control. As observed in screening, dicamba and triclopyr are possible substitutes for 2,4-D in the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Mixtures of dicamba, triclopyr, or halauxifen + diclosulam with glyphosate have </w:t>
      </w:r>
      <w:r>
        <w:rPr>
          <w:rFonts w:ascii="Times New Roman" w:hAnsi="Times New Roman" w:cs="Times New Roman"/>
          <w:sz w:val="24"/>
          <w:szCs w:val="24"/>
          <w:lang w:val="en-US"/>
        </w:rPr>
        <w:t>proven to be effective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control (McCauley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2018; Cantu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2021; Albrecht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2022c). It is essential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rotate products and mechanisms of action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for efficient management. Necrotic spotting symptoms have been </w:t>
      </w:r>
      <w:r>
        <w:rPr>
          <w:rFonts w:ascii="Times New Roman" w:hAnsi="Times New Roman" w:cs="Times New Roman"/>
          <w:sz w:val="24"/>
          <w:szCs w:val="24"/>
          <w:lang w:val="en-US"/>
        </w:rPr>
        <w:t>observed in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triclopyr for years</w:t>
      </w:r>
      <w:r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nothing has been confirmed from the experiments conducted. </w:t>
      </w:r>
      <w:r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, attention should be paid due to the increased use of this herbicide,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a view to 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>replac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F33B20">
        <w:rPr>
          <w:rFonts w:ascii="Times New Roman" w:hAnsi="Times New Roman" w:cs="Times New Roman"/>
          <w:sz w:val="24"/>
          <w:szCs w:val="24"/>
          <w:lang w:val="en-US"/>
        </w:rPr>
        <w:t xml:space="preserve"> 2,4-D.</w:t>
      </w:r>
    </w:p>
    <w:p w14:paraId="032BBD91" w14:textId="77777777" w:rsidR="00FF45B2" w:rsidRDefault="00FF45B2" w:rsidP="00FF45B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Depending on the plant’s stage, fleabane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management requires more than one intervention for effective control. The developmental stage can affect the efficacy of synthetic auxins,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variation in effectiveness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different herbicides (McCauley &amp; Young, 2019; Crose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2020). It can also determine the control of resistant plants, as seen in the present study. In general, farmers make the first application with systemic herbicides, typically glyphosate + synthetic auxins, </w:t>
      </w:r>
      <w:r>
        <w:rPr>
          <w:rFonts w:ascii="Times New Roman" w:hAnsi="Times New Roman" w:cs="Times New Roman"/>
          <w:sz w:val="24"/>
          <w:szCs w:val="24"/>
          <w:lang w:val="en-US"/>
        </w:rPr>
        <w:t>followed by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sequential applications of contact herbicides. Herbicides </w:t>
      </w:r>
      <w:r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glufosinate, saflufenacil, among others, should be incorporated into management strategies.</w:t>
      </w:r>
    </w:p>
    <w:p w14:paraId="48703C4A" w14:textId="6F8345E4" w:rsidR="00A15B14" w:rsidRPr="00C53368" w:rsidRDefault="00FF45B2" w:rsidP="00C53368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5CA">
        <w:rPr>
          <w:rFonts w:ascii="Times New Roman" w:hAnsi="Times New Roman" w:cs="Times New Roman"/>
          <w:sz w:val="24"/>
          <w:szCs w:val="24"/>
          <w:lang w:val="en-US"/>
        </w:rPr>
        <w:t>The use of pre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emergents is crucial in </w:t>
      </w:r>
      <w:r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control (Garcia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2023; Silva </w:t>
      </w:r>
      <w:r w:rsidRPr="00A26BF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2023), </w:t>
      </w:r>
      <w:r>
        <w:rPr>
          <w:rFonts w:ascii="Times New Roman" w:hAnsi="Times New Roman" w:cs="Times New Roman"/>
          <w:sz w:val="24"/>
          <w:szCs w:val="24"/>
          <w:lang w:val="en-US"/>
        </w:rPr>
        <w:t>and an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important strategy for management and preventing the selection of new resistance cases. </w:t>
      </w:r>
      <w:r>
        <w:rPr>
          <w:rFonts w:ascii="Times New Roman" w:hAnsi="Times New Roman" w:cs="Times New Roman"/>
          <w:sz w:val="24"/>
          <w:szCs w:val="24"/>
          <w:lang w:val="en-US"/>
        </w:rPr>
        <w:t>As such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, we </w:t>
      </w:r>
      <w:r>
        <w:rPr>
          <w:rFonts w:ascii="Times New Roman" w:hAnsi="Times New Roman" w:cs="Times New Roman"/>
          <w:sz w:val="24"/>
          <w:szCs w:val="24"/>
          <w:lang w:val="en-US"/>
        </w:rPr>
        <w:t>underscore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the need for integrated management, especially rotati</w:t>
      </w:r>
      <w:r>
        <w:rPr>
          <w:rFonts w:ascii="Times New Roman" w:hAnsi="Times New Roman" w:cs="Times New Roman"/>
          <w:sz w:val="24"/>
          <w:szCs w:val="24"/>
          <w:lang w:val="en-US"/>
        </w:rPr>
        <w:t>ng mechanisms of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action</w:t>
      </w:r>
      <w:r>
        <w:rPr>
          <w:rFonts w:ascii="Times New Roman" w:hAnsi="Times New Roman" w:cs="Times New Roman"/>
          <w:sz w:val="24"/>
          <w:szCs w:val="24"/>
          <w:lang w:val="en-US"/>
        </w:rPr>
        <w:t>, in order to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reduce selection pressure and </w:t>
      </w:r>
      <w:r>
        <w:rPr>
          <w:rFonts w:ascii="Times New Roman" w:hAnsi="Times New Roman" w:cs="Times New Roman"/>
          <w:sz w:val="24"/>
          <w:szCs w:val="24"/>
          <w:lang w:val="en-US"/>
        </w:rPr>
        <w:t>guarantee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that the available tools last longer. Studies like th</w:t>
      </w:r>
      <w:r>
        <w:rPr>
          <w:rFonts w:ascii="Times New Roman" w:hAnsi="Times New Roman" w:cs="Times New Roman"/>
          <w:sz w:val="24"/>
          <w:szCs w:val="24"/>
          <w:lang w:val="en-US"/>
        </w:rPr>
        <w:t>is one</w:t>
      </w:r>
      <w:r w:rsidRPr="009475CA">
        <w:rPr>
          <w:rFonts w:ascii="Times New Roman" w:hAnsi="Times New Roman" w:cs="Times New Roman"/>
          <w:sz w:val="24"/>
          <w:szCs w:val="24"/>
          <w:lang w:val="en-US"/>
        </w:rPr>
        <w:t xml:space="preserve"> are essential for the development of integrated management.</w:t>
      </w:r>
    </w:p>
    <w:p w14:paraId="365D14BE" w14:textId="77777777" w:rsidR="00A15B14" w:rsidRDefault="007D5D32" w:rsidP="00A15B1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319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Conclusions</w:t>
      </w:r>
    </w:p>
    <w:p w14:paraId="446F88B6" w14:textId="77777777" w:rsidR="00652DB4" w:rsidRDefault="00652DB4" w:rsidP="00A15B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287E89" w14:textId="7F784803" w:rsidR="00A15B14" w:rsidRDefault="009769C1" w:rsidP="00A15B1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3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D5D32" w:rsidRPr="009E738B">
        <w:rPr>
          <w:rFonts w:ascii="Times New Roman" w:hAnsi="Times New Roman" w:cs="Times New Roman"/>
          <w:sz w:val="24"/>
          <w:szCs w:val="24"/>
          <w:lang w:val="en-US"/>
        </w:rPr>
        <w:t>he dose-response curve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confirmed</w:t>
      </w:r>
      <w:r w:rsidR="007D5D32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multiple resistance to diquat (photosystem I inhibitors – Group D) and 2,4-D (synthetic auxins – Group O) in a Sumatran </w:t>
      </w:r>
      <w:r w:rsidR="0027664D" w:rsidRPr="009E738B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="007D5D32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7F41CB" w:rsidRPr="009E738B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7D5D32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collected in PR.</w:t>
      </w:r>
    </w:p>
    <w:p w14:paraId="3281BD26" w14:textId="77777777" w:rsidR="00A15B14" w:rsidRDefault="007D5D32" w:rsidP="00A15B14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Glyphosate resistance was found in all </w:t>
      </w:r>
      <w:r w:rsidR="0027664D" w:rsidRPr="009E738B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7F41CB" w:rsidRPr="009E738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except one, </w:t>
      </w:r>
      <w:r w:rsidR="00B537B0" w:rsidRPr="009E738B">
        <w:rPr>
          <w:rFonts w:ascii="Times New Roman" w:hAnsi="Times New Roman" w:cs="Times New Roman"/>
          <w:sz w:val="24"/>
          <w:szCs w:val="24"/>
          <w:lang w:val="en-US"/>
        </w:rPr>
        <w:t>demonstrating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widespread glyphosate-resistant </w:t>
      </w:r>
      <w:r w:rsidR="0027664D" w:rsidRPr="009E738B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in PR and MS. For diquat, 28 resistant access</w:t>
      </w:r>
      <w:r w:rsidR="007F41CB" w:rsidRPr="009E738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were identified. None of the access</w:t>
      </w:r>
      <w:r w:rsidR="007F41CB" w:rsidRPr="009E738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were classified as resistant to glufosinate and saflufenacil, </w:t>
      </w:r>
      <w:r w:rsidR="0080038E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characterizing 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80038E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viable options for </w:t>
      </w:r>
      <w:r w:rsidR="0027664D" w:rsidRPr="009E738B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control.</w:t>
      </w:r>
    </w:p>
    <w:p w14:paraId="295D651B" w14:textId="2FB79FFF" w:rsidR="0015275C" w:rsidRPr="00A15B14" w:rsidRDefault="007D5D32" w:rsidP="00A15B14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Rapid necrosis symptoms were observed in 44 </w:t>
      </w:r>
      <w:r w:rsidR="0027664D" w:rsidRPr="009E738B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7F41CB" w:rsidRPr="009E738B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216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found in PR and MS, 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24 hours after </w:t>
      </w:r>
      <w:r w:rsidR="00A66924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2,4-D 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66924" w:rsidRPr="009E73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216" w:rsidRPr="009E738B">
        <w:rPr>
          <w:rFonts w:ascii="Times New Roman" w:hAnsi="Times New Roman" w:cs="Times New Roman"/>
          <w:sz w:val="24"/>
          <w:szCs w:val="24"/>
          <w:lang w:val="en-US"/>
        </w:rPr>
        <w:t>Control above 80% was observed, d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>ue to the early stage of plant development at the time of application, which does not invalid</w:t>
      </w:r>
      <w:r w:rsidR="007D21A3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ate the presence of a </w:t>
      </w:r>
      <w:r w:rsidR="00DA3914"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resistance </w:t>
      </w:r>
      <w:r w:rsidR="007D21A3" w:rsidRPr="009E738B">
        <w:rPr>
          <w:rFonts w:ascii="Times New Roman" w:hAnsi="Times New Roman" w:cs="Times New Roman"/>
          <w:sz w:val="24"/>
          <w:szCs w:val="24"/>
          <w:lang w:val="en-US"/>
        </w:rPr>
        <w:t>mechanism</w:t>
      </w:r>
      <w:r w:rsidR="00DA3914" w:rsidRPr="009E73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No rapid necrosis or any indication of resistance was observed for dicamba and triclopyr, classifying them as options for </w:t>
      </w:r>
      <w:r w:rsidR="0027664D" w:rsidRPr="009E738B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control.</w:t>
      </w:r>
    </w:p>
    <w:p w14:paraId="22F3663F" w14:textId="77777777" w:rsidR="00A15B14" w:rsidRDefault="00A15B14" w:rsidP="00A15B1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E3148B" w14:textId="36422788" w:rsidR="009E738B" w:rsidRPr="006B05A7" w:rsidRDefault="009E738B" w:rsidP="00A15B1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05A7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Acknowledgements</w:t>
      </w:r>
    </w:p>
    <w:p w14:paraId="7D6D5756" w14:textId="77777777" w:rsidR="00A15B14" w:rsidRDefault="00A15B14" w:rsidP="00A15B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B1A519" w14:textId="10A8E381" w:rsidR="009E738B" w:rsidRDefault="009E738B" w:rsidP="00A15B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The authors would like to thank the </w:t>
      </w:r>
      <w:r w:rsidR="00A15B14" w:rsidRPr="00A15B14">
        <w:rPr>
          <w:rFonts w:ascii="Times New Roman" w:hAnsi="Times New Roman" w:cs="Times New Roman"/>
          <w:sz w:val="24"/>
          <w:szCs w:val="24"/>
          <w:lang w:val="en-US"/>
        </w:rPr>
        <w:t>State University of Maringá</w:t>
      </w:r>
      <w:r w:rsidR="00A15B14" w:rsidRPr="00A15B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(UEM), </w:t>
      </w:r>
      <w:r w:rsidR="00A15B14">
        <w:rPr>
          <w:rFonts w:ascii="Times New Roman" w:hAnsi="Times New Roman" w:cs="Times New Roman"/>
          <w:sz w:val="24"/>
          <w:szCs w:val="24"/>
          <w:lang w:val="en-US"/>
        </w:rPr>
        <w:t>Federal University of Paraná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(UFPR), </w:t>
      </w:r>
      <w:r w:rsidRPr="0096002A">
        <w:rPr>
          <w:rFonts w:ascii="Times New Roman" w:hAnsi="Times New Roman" w:cs="Times New Roman"/>
          <w:i/>
          <w:iCs/>
          <w:sz w:val="24"/>
          <w:szCs w:val="24"/>
          <w:lang w:val="en-US"/>
        </w:rPr>
        <w:t>Supra Pesquisa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team </w:t>
      </w:r>
      <w:r w:rsidR="0096002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UFPR and </w:t>
      </w:r>
      <w:r w:rsidRPr="0096002A">
        <w:rPr>
          <w:rFonts w:ascii="Times New Roman" w:hAnsi="Times New Roman" w:cs="Times New Roman"/>
          <w:i/>
          <w:iCs/>
          <w:sz w:val="24"/>
          <w:szCs w:val="24"/>
          <w:lang w:val="en-US"/>
        </w:rPr>
        <w:t>Crop Pesquisa</w:t>
      </w:r>
      <w:r w:rsidRPr="009E738B">
        <w:rPr>
          <w:rFonts w:ascii="Times New Roman" w:hAnsi="Times New Roman" w:cs="Times New Roman"/>
          <w:sz w:val="24"/>
          <w:szCs w:val="24"/>
          <w:lang w:val="en-US"/>
        </w:rPr>
        <w:t xml:space="preserve"> for their support. </w:t>
      </w:r>
      <w:r w:rsidRPr="001E50D2">
        <w:rPr>
          <w:rFonts w:ascii="Times New Roman" w:hAnsi="Times New Roman" w:cs="Times New Roman"/>
          <w:sz w:val="24"/>
          <w:szCs w:val="24"/>
          <w:lang w:val="en-US"/>
        </w:rPr>
        <w:t xml:space="preserve">This work was carried out with the support of </w:t>
      </w:r>
      <w:proofErr w:type="spellStart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>Coordenação</w:t>
      </w:r>
      <w:proofErr w:type="spellEnd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>Aperfeiçoamento</w:t>
      </w:r>
      <w:proofErr w:type="spellEnd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>Pessoal</w:t>
      </w:r>
      <w:proofErr w:type="spellEnd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>Nível</w:t>
      </w:r>
      <w:proofErr w:type="spellEnd"/>
      <w:r w:rsidR="0015057F" w:rsidRPr="001505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Superior </w:t>
      </w:r>
      <w:r w:rsidR="0015057F" w:rsidRPr="0015057F">
        <w:rPr>
          <w:rFonts w:ascii="Times New Roman" w:hAnsi="Times New Roman" w:cs="Times New Roman"/>
          <w:sz w:val="24"/>
          <w:szCs w:val="24"/>
          <w:lang w:val="en-US"/>
        </w:rPr>
        <w:t>- Brazil (CAPES) - Financial Code 001.</w:t>
      </w:r>
    </w:p>
    <w:p w14:paraId="0BA3B20E" w14:textId="77777777" w:rsidR="007E64ED" w:rsidRDefault="007E64ED" w:rsidP="00A15B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F9E0F" w14:textId="77777777" w:rsidR="007E64ED" w:rsidRPr="007E64ED" w:rsidRDefault="007E64ED" w:rsidP="007E64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Contributions</w:t>
      </w:r>
    </w:p>
    <w:p w14:paraId="00025789" w14:textId="77777777" w:rsidR="007E64ED" w:rsidRDefault="007E64ED" w:rsidP="007E64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87B1D2" w14:textId="444FB546" w:rsidR="007E64ED" w:rsidRDefault="00050D40" w:rsidP="007E64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MGC, AJPA, LPA 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>and A</w:t>
      </w:r>
      <w:r>
        <w:rPr>
          <w:rFonts w:ascii="Times New Roman" w:hAnsi="Times New Roman" w:cs="Times New Roman"/>
          <w:sz w:val="24"/>
          <w:szCs w:val="24"/>
          <w:lang w:val="en-US"/>
        </w:rPr>
        <w:t>AMB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 xml:space="preserve"> planned the experiments,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MGC, AAB, WFL and FMB </w:t>
      </w:r>
      <w:r w:rsidRPr="00050D40">
        <w:rPr>
          <w:rFonts w:ascii="Times New Roman" w:hAnsi="Times New Roman" w:cs="Times New Roman"/>
          <w:sz w:val="24"/>
          <w:szCs w:val="24"/>
          <w:lang w:val="en-US"/>
        </w:rPr>
        <w:t>carried out the experiments and collected the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GC, AJPA, LPA, AFMS and AAMB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 xml:space="preserve"> interpreted the results, </w:t>
      </w:r>
      <w:r>
        <w:rPr>
          <w:rFonts w:ascii="Times New Roman" w:hAnsi="Times New Roman" w:cs="Times New Roman"/>
          <w:sz w:val="24"/>
          <w:szCs w:val="24"/>
          <w:lang w:val="en-US"/>
        </w:rPr>
        <w:t>MGC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>, A</w:t>
      </w:r>
      <w:r>
        <w:rPr>
          <w:rFonts w:ascii="Times New Roman" w:hAnsi="Times New Roman" w:cs="Times New Roman"/>
          <w:sz w:val="24"/>
          <w:szCs w:val="24"/>
          <w:lang w:val="en-US"/>
        </w:rPr>
        <w:t>FMS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AJPA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C78" w:rsidRPr="00B21C78">
        <w:rPr>
          <w:rFonts w:ascii="Times New Roman" w:hAnsi="Times New Roman" w:cs="Times New Roman"/>
          <w:sz w:val="24"/>
          <w:szCs w:val="24"/>
          <w:lang w:val="en-US"/>
        </w:rPr>
        <w:t>wrote the original version of the manuscript</w:t>
      </w:r>
      <w:r w:rsidR="00B21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21C78">
        <w:rPr>
          <w:rFonts w:ascii="Times New Roman" w:hAnsi="Times New Roman" w:cs="Times New Roman"/>
          <w:sz w:val="24"/>
          <w:szCs w:val="24"/>
          <w:lang w:val="en-US"/>
        </w:rPr>
        <w:t xml:space="preserve">MGC, WFL, AAB and AFMS </w:t>
      </w:r>
      <w:r w:rsidR="007E64ED" w:rsidRPr="007E64ED">
        <w:rPr>
          <w:rFonts w:ascii="Times New Roman" w:hAnsi="Times New Roman" w:cs="Times New Roman"/>
          <w:sz w:val="24"/>
          <w:szCs w:val="24"/>
          <w:lang w:val="en-US"/>
        </w:rPr>
        <w:t>statistically analyzed the data and made illustrations</w:t>
      </w:r>
      <w:r w:rsidR="00B21C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2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664" w:rsidRPr="006C2664">
        <w:rPr>
          <w:rFonts w:ascii="Times New Roman" w:hAnsi="Times New Roman" w:cs="Times New Roman"/>
          <w:sz w:val="24"/>
          <w:szCs w:val="24"/>
          <w:lang w:val="en-US"/>
        </w:rPr>
        <w:t>All authors reviewed and approved the final version of the manuscript.</w:t>
      </w:r>
    </w:p>
    <w:p w14:paraId="6DC656DA" w14:textId="77777777" w:rsidR="006C2664" w:rsidRDefault="006C2664" w:rsidP="007E64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7AA53D" w14:textId="77777777" w:rsidR="006C2664" w:rsidRP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66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 of Interest</w:t>
      </w:r>
    </w:p>
    <w:p w14:paraId="49BD1A19" w14:textId="77777777" w:rsidR="00417302" w:rsidRDefault="00417302" w:rsidP="006C26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220CF9" w14:textId="5F0479AF" w:rsidR="006C2664" w:rsidRP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664">
        <w:rPr>
          <w:rFonts w:ascii="Times New Roman" w:hAnsi="Times New Roman" w:cs="Times New Roman"/>
          <w:sz w:val="24"/>
          <w:szCs w:val="24"/>
          <w:lang w:val="en-US"/>
        </w:rPr>
        <w:t>All authors declare no conflict of interest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C4793F" w14:textId="77777777" w:rsid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5870F1" w14:textId="6629919F" w:rsidR="006C2664" w:rsidRP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66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Availability</w:t>
      </w:r>
    </w:p>
    <w:p w14:paraId="6B488F11" w14:textId="77777777" w:rsid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F1A823" w14:textId="718FA9F4" w:rsidR="006C2664" w:rsidRP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664">
        <w:rPr>
          <w:rFonts w:ascii="Times New Roman" w:hAnsi="Times New Roman" w:cs="Times New Roman"/>
          <w:sz w:val="24"/>
          <w:szCs w:val="24"/>
          <w:lang w:val="en-US"/>
        </w:rPr>
        <w:t>Data presented in this study will be available on a fair request to the corresponding author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BCB22E" w14:textId="77777777" w:rsid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CC37B4" w14:textId="3B4E526B" w:rsidR="006C2664" w:rsidRP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664">
        <w:rPr>
          <w:rFonts w:ascii="Times New Roman" w:hAnsi="Times New Roman" w:cs="Times New Roman"/>
          <w:b/>
          <w:bCs/>
          <w:sz w:val="24"/>
          <w:szCs w:val="24"/>
          <w:lang w:val="en-US"/>
        </w:rPr>
        <w:t>Ethics Approval</w:t>
      </w:r>
    </w:p>
    <w:p w14:paraId="0758B7CB" w14:textId="77777777" w:rsidR="006C2664" w:rsidRDefault="006C2664" w:rsidP="006C26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10113" w14:textId="769EFDA8" w:rsidR="00A15B14" w:rsidRPr="00417302" w:rsidRDefault="006C2664" w:rsidP="004173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664">
        <w:rPr>
          <w:rFonts w:ascii="Times New Roman" w:hAnsi="Times New Roman" w:cs="Times New Roman"/>
          <w:sz w:val="24"/>
          <w:szCs w:val="24"/>
          <w:lang w:val="en-US"/>
        </w:rPr>
        <w:t>Not applicable to this paper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7DD1AF" w14:textId="77777777" w:rsidR="00C53368" w:rsidRDefault="00C53368" w:rsidP="002F1CF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37D48" w14:textId="1A1D3B6F" w:rsidR="0015275C" w:rsidRPr="0028295D" w:rsidRDefault="0015275C" w:rsidP="002F1CF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95D">
        <w:rPr>
          <w:rFonts w:ascii="Times New Roman" w:hAnsi="Times New Roman" w:cs="Times New Roman"/>
          <w:b/>
          <w:bCs/>
          <w:sz w:val="24"/>
          <w:szCs w:val="24"/>
        </w:rPr>
        <w:t>Refer</w:t>
      </w:r>
      <w:r w:rsidR="00780BB6" w:rsidRPr="0028295D">
        <w:rPr>
          <w:rFonts w:ascii="Times New Roman" w:hAnsi="Times New Roman" w:cs="Times New Roman"/>
          <w:b/>
          <w:bCs/>
          <w:sz w:val="24"/>
          <w:szCs w:val="24"/>
        </w:rPr>
        <w:t>ences</w:t>
      </w:r>
    </w:p>
    <w:p w14:paraId="4BBB1E7E" w14:textId="77777777" w:rsidR="002F1CF8" w:rsidRPr="0028295D" w:rsidRDefault="002F1CF8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41962809" w14:textId="24E3C648" w:rsidR="006B05A7" w:rsidRPr="002F1CF8" w:rsidRDefault="002F1CF8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Albrecht AJP, LP Albrecht, AFM Silva (2022b)</w:t>
      </w:r>
      <w:r w:rsidR="006B05A7"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Agronomic implications of paraquat ban in Brazil.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Adv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e020220040</w:t>
      </w:r>
    </w:p>
    <w:p w14:paraId="388ACA52" w14:textId="60751C4C" w:rsidR="006B05A7" w:rsidRPr="001F7BF7" w:rsidRDefault="000A28A4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Albrecht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AJP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LP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AFM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Silva,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RA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Migliavacca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WF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Larini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R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Kosinski,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Katakura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(2023).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Herbicide efficacy in weed control increased due to by sequential application of glufosinate + saflufenacil. </w:t>
      </w:r>
      <w:r w:rsidR="00E63543" w:rsidRPr="001F7BF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Rev Agric </w:t>
      </w:r>
      <w:proofErr w:type="spellStart"/>
      <w:r w:rsidR="00E63543" w:rsidRPr="001F7BF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Neotrop</w:t>
      </w:r>
      <w:proofErr w:type="spellEnd"/>
      <w:r w:rsidR="00E63543" w:rsidRPr="001F7BF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1F7BF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10</w:t>
      </w:r>
      <w:r w:rsidR="00E63543" w:rsidRPr="001F7BF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1F7BF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e7125 </w:t>
      </w:r>
    </w:p>
    <w:p w14:paraId="3F807897" w14:textId="6D9F5142" w:rsidR="006B05A7" w:rsidRPr="007F653A" w:rsidRDefault="001F7BF7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lastRenderedPageBreak/>
        <w:t>Albrecht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AJP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VGC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Pereira,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CNZ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Souza,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LHS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Zobiole, 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FS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Adegas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(2020a).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Multiple resistance of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to three mechanisms of action of herbicides. </w:t>
      </w:r>
      <w:r w:rsidR="006B05A7" w:rsidRPr="007F653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Acta Sci Agron</w:t>
      </w:r>
      <w:r w:rsidR="00ED0AA3" w:rsidRPr="007F653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42</w:t>
      </w:r>
      <w:r w:rsidR="00ED0AA3"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e42485</w:t>
      </w:r>
    </w:p>
    <w:p w14:paraId="3E9F19AA" w14:textId="5F248A96" w:rsidR="006B05A7" w:rsidRPr="0028295D" w:rsidRDefault="007F653A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Albrecht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AJP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G </w:t>
      </w:r>
      <w:proofErr w:type="spellStart"/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Thomazini</w:t>
      </w:r>
      <w:proofErr w:type="spellEnd"/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LP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Pires,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JB 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Lorenzetti,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MTY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Danilussi</w:t>
      </w:r>
      <w:proofErr w:type="spellEnd"/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AFM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Silva,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FS</w:t>
      </w:r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Adegas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(2020b). </w:t>
      </w:r>
      <w:r w:rsidR="006B05A7" w:rsidRPr="007F653A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 xml:space="preserve">Conyza sumatrensis </w:t>
      </w:r>
      <w:r w:rsidR="006B05A7" w:rsidRPr="007F653A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resistant to paraquat, glyphosate and chlorimuron: Confirmation and monitoring the first case of multiple resistance in Paraguay. </w:t>
      </w:r>
      <w:proofErr w:type="spellStart"/>
      <w:r w:rsidR="006B05A7" w:rsidRPr="0028295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es-ES"/>
          <w14:ligatures w14:val="none"/>
        </w:rPr>
        <w:t>Agriculture</w:t>
      </w:r>
      <w:proofErr w:type="spellEnd"/>
      <w:r w:rsidRPr="0028295D">
        <w:rPr>
          <w:rFonts w:ascii="Times New Roman" w:eastAsia="Calibri" w:hAnsi="Times New Roman" w:cs="Times New Roman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10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6B05A7"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582</w:t>
      </w:r>
    </w:p>
    <w:p w14:paraId="78A85C4E" w14:textId="1AEEA4A3" w:rsidR="006B05A7" w:rsidRPr="00F016E5" w:rsidRDefault="008728FD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Albrecht LP, AJP Albrecht, AFM Silva, LM Silva, DC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Neuberger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G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Zanfrilli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VMS Antunes (2022a).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Sumatran fleabane (</w:t>
      </w:r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 xml:space="preserve">Conyza sumatrensis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[Retz.] E. Walker) control in soybean with combinations of burndown and preemergence herbicides applied in the off-season. </w:t>
      </w:r>
      <w:proofErr w:type="spellStart"/>
      <w:r w:rsidR="006B05A7" w:rsidRPr="00F016E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Arq</w:t>
      </w:r>
      <w:proofErr w:type="spellEnd"/>
      <w:r w:rsidRPr="00F016E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F016E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Inst</w:t>
      </w:r>
      <w:r w:rsidRPr="00F016E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F016E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Biol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89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e00052022</w:t>
      </w:r>
    </w:p>
    <w:p w14:paraId="6DEA1C76" w14:textId="500783D5" w:rsidR="006B05A7" w:rsidRPr="002F1CF8" w:rsidRDefault="00F016E5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Albrecht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LP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N 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Heimerdinger,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AJP 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Albrecht, 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FM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Silva,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ES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Piccin,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LM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Silva,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WFL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Larini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(2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022c). </w:t>
      </w:r>
      <w:r w:rsidR="006B05A7" w:rsidRPr="00F016E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Chemical control of fleabane resistant to 2, 4-D. </w:t>
      </w:r>
      <w:r w:rsidRPr="00F016E5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Outlook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 xml:space="preserve"> </w:t>
      </w:r>
      <w:r w:rsidRPr="00F016E5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Pest Manag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33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239-243 </w:t>
      </w:r>
    </w:p>
    <w:p w14:paraId="4952CC15" w14:textId="1F36B492" w:rsidR="006B05A7" w:rsidRPr="002F1CF8" w:rsidRDefault="008B056D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Angonese</w:t>
      </w:r>
      <w:proofErr w:type="spellEnd"/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PS, ARS Queiroz, LS </w:t>
      </w:r>
      <w:proofErr w:type="spellStart"/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Angonese</w:t>
      </w:r>
      <w:proofErr w:type="spellEnd"/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FM Machado, R Napier,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C </w:t>
      </w:r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Markus, C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</w:t>
      </w:r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Delatorre</w:t>
      </w:r>
      <w:proofErr w:type="spellEnd"/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</w:t>
      </w:r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Merotto Junior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8B056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(2023).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Rapid necrosis: Implications of environmental conditions and plant growth stage on 2, 4-D resistance and effect of other auxinic herbicides in Sumatran fleabane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). </w:t>
      </w:r>
      <w:r w:rsidR="006B05A7" w:rsidRPr="008B056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Techno</w:t>
      </w:r>
      <w:r w:rsidRPr="008B056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37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174-184 </w:t>
      </w:r>
    </w:p>
    <w:p w14:paraId="086C2D28" w14:textId="017F3EA6" w:rsidR="006B05A7" w:rsidRPr="002F1CF8" w:rsidRDefault="00DA6396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Bromilow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RH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(2004).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Paraquat and sustainable agriculture. </w:t>
      </w:r>
      <w:r w:rsidR="006B05A7" w:rsidRPr="00DA639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Pest Mana</w:t>
      </w:r>
      <w:r w:rsidRPr="00DA639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 xml:space="preserve">g </w:t>
      </w:r>
      <w:r w:rsidR="006B05A7" w:rsidRPr="00DA639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Sci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60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340-349</w:t>
      </w:r>
    </w:p>
    <w:p w14:paraId="390CFDBF" w14:textId="286BB471" w:rsidR="006B05A7" w:rsidRPr="002F1CF8" w:rsidRDefault="000A2C9B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Bunchek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JM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JM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Wallace,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WS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Curran,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DA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Mortensen,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MJ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Vangessel,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BA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Scott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(2020).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Alternative performance targets for integrating cover crops as a proactive herbicide-resistance management tool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.</w:t>
      </w:r>
      <w:r w:rsidR="006B05A7" w:rsidRPr="002F1CF8">
        <w:rPr>
          <w:rFonts w:ascii="Times New Roman" w:eastAsia="Calibri" w:hAnsi="Times New Roman" w:cs="Times New Roman"/>
          <w:b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0A2C9B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68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534-544 </w:t>
      </w:r>
    </w:p>
    <w:p w14:paraId="426F544A" w14:textId="2D6E9AAB" w:rsidR="006B05A7" w:rsidRPr="002F1CF8" w:rsidRDefault="00DD04C4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Burgos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NR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(2015).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Whole-plant and seed bioassays for resistance confirmation. </w:t>
      </w:r>
      <w:r w:rsidR="006B05A7" w:rsidRPr="009E5D2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63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152-165 </w:t>
      </w:r>
    </w:p>
    <w:p w14:paraId="440174CC" w14:textId="5D9CD0E6" w:rsidR="006B05A7" w:rsidRPr="002F1CF8" w:rsidRDefault="00B54BF3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lastRenderedPageBreak/>
        <w:t>Burgos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NR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PJ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Tranel,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JC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Streibig,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VM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Davis,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D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Shaner,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JK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Norsworthy,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Ritz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(2013).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Confirmation of resistance to herbicides and evaluation of resistance levels. </w:t>
      </w:r>
      <w:r w:rsidR="006B05A7" w:rsidRPr="00B54BF3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61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4-20</w:t>
      </w:r>
    </w:p>
    <w:p w14:paraId="06EA8EC1" w14:textId="156E4704" w:rsidR="006B05A7" w:rsidRPr="002F1CF8" w:rsidRDefault="00214F1D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Busi 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SB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Powles,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HJ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Beckie,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Renton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(2020).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Rotations and mixtures of soil‐ applied herbicides delay resistance. </w:t>
      </w:r>
      <w:r w:rsidR="006B05A7" w:rsidRPr="00214F1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Pest Manag</w:t>
      </w:r>
      <w:r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14F1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Sci</w:t>
      </w:r>
      <w:r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76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487-496</w:t>
      </w:r>
    </w:p>
    <w:p w14:paraId="78BD1609" w14:textId="77777777" w:rsidR="00896D88" w:rsidRDefault="00DE29FF" w:rsidP="00896D8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Cantu RM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LP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AJP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Albrecht, 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FM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Silva,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MTY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Danilussi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JB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Lorenzetti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(2021).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Herbicide alternative for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control in pre-planting in no-till soybeans. </w:t>
      </w:r>
      <w:r w:rsidR="006B05A7" w:rsidRPr="00DE29F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Adv</w:t>
      </w:r>
      <w:r w:rsidR="00DF0B3E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DE29F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39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e2021000025</w:t>
      </w:r>
    </w:p>
    <w:p w14:paraId="312C5B6B" w14:textId="1AD9D306" w:rsidR="006B05A7" w:rsidRPr="00896D88" w:rsidRDefault="00896D88" w:rsidP="00896D8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Crose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JA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, MR </w:t>
      </w:r>
      <w:proofErr w:type="spellStart"/>
      <w:r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Manuchehr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i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,</w:t>
      </w:r>
      <w:r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TA </w:t>
      </w:r>
      <w:r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Baughman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 (2020). 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Horseweed (</w:t>
      </w:r>
      <w:r w:rsidR="006B05A7" w:rsidRPr="002F1CF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Conyza canadensis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) management in Oklahoma winter wheat. </w:t>
      </w:r>
      <w:r w:rsidR="006B05A7" w:rsidRPr="00896D8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Weed Technol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34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229-234 </w:t>
      </w:r>
    </w:p>
    <w:p w14:paraId="0DBBE02E" w14:textId="27B6D012" w:rsidR="006B05A7" w:rsidRPr="006B2BF5" w:rsidRDefault="00E94E70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Dalazen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G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ND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Kruse,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SLO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Machado,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Balbinot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(2015).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Synergism of the glyphosate and saflufenacil combination for controlling hairy fleabane. </w:t>
      </w:r>
      <w:proofErr w:type="spellStart"/>
      <w:r w:rsidRPr="006B2BF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Pesqui</w:t>
      </w:r>
      <w:proofErr w:type="spellEnd"/>
      <w:r w:rsidRPr="006B2BF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6B2BF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Agropecu</w:t>
      </w:r>
      <w:proofErr w:type="spellEnd"/>
      <w:r w:rsidRPr="006B2BF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Trop</w:t>
      </w:r>
      <w:r w:rsidRPr="006B2BF5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6B2BF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45</w:t>
      </w:r>
      <w:r w:rsidRPr="006B2BF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6B2BF5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249-256</w:t>
      </w:r>
    </w:p>
    <w:p w14:paraId="7B94030C" w14:textId="0912BDF1" w:rsidR="006B05A7" w:rsidRPr="002F1CF8" w:rsidRDefault="006B2BF5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E94E7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Flann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E94E7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(2016). </w:t>
      </w:r>
      <w:r w:rsidR="006B05A7" w:rsidRPr="00E94E7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GCC: global </w:t>
      </w:r>
      <w:r w:rsidRPr="00E94E7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Compositae</w:t>
      </w:r>
      <w:r w:rsidR="006B05A7" w:rsidRPr="00E94E7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checklist (version 5 (Beta)).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In: </w:t>
      </w:r>
      <w:r w:rsidRPr="006B2BF5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Species 2000 and ITIS catalogue of life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. Y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Roskov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et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).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Naturalis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Leiden</w:t>
      </w:r>
      <w:r w:rsid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, South Holland, Netherlands</w:t>
      </w:r>
    </w:p>
    <w:p w14:paraId="7845E85B" w14:textId="74F4737B" w:rsidR="006B05A7" w:rsidRPr="002F1CF8" w:rsidRDefault="0087146C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Garcia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FC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AJP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LP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JR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Barbosa,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AFM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Silva,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WF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Larini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G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Moreno,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AAM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Barroso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(2023).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Efficacy of pre-emergence herbicides in controlling Sumatran fleabane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) in the off-season. </w:t>
      </w:r>
      <w:r w:rsidR="006B05A7" w:rsidRPr="0087146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Agron</w:t>
      </w:r>
      <w:r w:rsidRPr="0087146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87146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Res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21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1119-1127</w:t>
      </w:r>
    </w:p>
    <w:p w14:paraId="2CEFD4C9" w14:textId="6490F878" w:rsidR="006B05A7" w:rsidRPr="002F1CF8" w:rsidRDefault="006B05A7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G</w:t>
      </w:r>
      <w:r w:rsidR="008C04F3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rossmann</w:t>
      </w:r>
      <w:r w:rsidR="008C04F3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K</w:t>
      </w:r>
      <w:r w:rsidR="008C04F3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(2010).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Auxin herbicides: current status of mechanism and mode of action. </w:t>
      </w:r>
      <w:r w:rsidRPr="008C04F3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Pest Manag Sci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66</w:t>
      </w:r>
      <w:r w:rsidR="008C04F3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113-120</w:t>
      </w:r>
    </w:p>
    <w:p w14:paraId="07C2E1E3" w14:textId="2375A547" w:rsidR="006B05A7" w:rsidRPr="002F1CF8" w:rsidRDefault="006B05A7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H</w:t>
      </w:r>
      <w:r w:rsidR="00293689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eap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I</w:t>
      </w:r>
      <w:r w:rsidR="00293689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(2024). </w:t>
      </w:r>
      <w:r w:rsidRPr="00293689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The international survey of herbicide resistant weeds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. Available at: </w:t>
      </w:r>
      <w:r w:rsidR="00D42AA0" w:rsidRPr="00D42AA0">
        <w:rPr>
          <w:rFonts w:ascii="Segoe UI" w:hAnsi="Segoe UI" w:cs="Segoe UI"/>
          <w:color w:val="212529"/>
          <w:shd w:val="clear" w:color="auto" w:fill="FFFFFF"/>
          <w:lang w:val="en-US"/>
        </w:rPr>
        <w:t>http://</w:t>
      </w:r>
      <w:r w:rsidR="00D42AA0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D42AA0" w:rsidRPr="00D42AA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http://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www.weedscience.com</w:t>
      </w:r>
      <w:r w:rsidR="00D42AA0">
        <w:rPr>
          <w:rFonts w:ascii="Calibri" w:eastAsia="Calibri" w:hAnsi="Calibri" w:cs="Calibri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D42AA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(A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ccessed: 21</w:t>
      </w:r>
      <w:r w:rsidR="00D42AA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March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2024</w:t>
      </w:r>
      <w:r w:rsidR="00D42AA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)</w:t>
      </w:r>
    </w:p>
    <w:p w14:paraId="5A608426" w14:textId="5A22C1F7" w:rsidR="006B05A7" w:rsidRPr="00377E17" w:rsidRDefault="00032F2E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lastRenderedPageBreak/>
        <w:t xml:space="preserve">Leal JFL, Souza AS, J Borella, ALS Araujo, AC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Langaro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MM Alves, LSJ Ferreira, S Morran, LHS Zobiole, FR Lucio, AFL Machado, TA Gaines, CF Pinho (2022).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Rapid photosynthetic and physiological response of 2,4-D-resistant Sumatran fleabane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) to 2,4-D as a survival strategy. </w:t>
      </w:r>
      <w:r w:rsidR="006B05A7" w:rsidRPr="00032F2E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70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298-308 </w:t>
      </w:r>
    </w:p>
    <w:p w14:paraId="78AC4C72" w14:textId="59A39846" w:rsidR="00F008E7" w:rsidRPr="002F1CF8" w:rsidRDefault="00F008E7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Lorenzetti</w:t>
      </w:r>
      <w:r w:rsidR="00377E17"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JB, </w:t>
      </w:r>
      <w:r w:rsidR="00377E17"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MTY </w:t>
      </w:r>
      <w:proofErr w:type="spellStart"/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Danilussi</w:t>
      </w:r>
      <w:proofErr w:type="spellEnd"/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AJP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Albrecht, A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AM 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Barroso, 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LP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Albrecht, 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AFM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Silva,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GR Santos, GAM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Caneppele</w:t>
      </w:r>
      <w:proofErr w:type="spellEnd"/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(2024).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Identification, mapping, and chemical control of fleabane resistant to glyphosate, chlorimuron, paraquat and 2, 4-D. </w:t>
      </w:r>
      <w:r w:rsidRPr="00377E1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Technol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38</w:t>
      </w:r>
      <w:r w:rsid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Pr="00377E1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e27</w:t>
      </w:r>
    </w:p>
    <w:p w14:paraId="43BA98F8" w14:textId="21DD78D6" w:rsidR="006B05A7" w:rsidRPr="002F1CF8" w:rsidRDefault="00B82C98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B82C9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Lucio FR, A Kalsing, FS Adegas, CVS Rossi,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NM </w:t>
      </w:r>
      <w:r w:rsidRPr="00B82C9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Correia,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DLP </w:t>
      </w:r>
      <w:proofErr w:type="spellStart"/>
      <w:r w:rsidRPr="00B82C9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Gazziero</w:t>
      </w:r>
      <w:proofErr w:type="spellEnd"/>
      <w:r w:rsidRPr="00B82C9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AF</w:t>
      </w:r>
      <w:r w:rsidRPr="00B82C9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Silva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4D68DF" w:rsidRPr="00B82C9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(2019).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Dispersal and frequency of glyphosate-resistant and glyphosate-tolerant weeds in soybean-producing edaphoclimatic microregions in Brazil. </w:t>
      </w:r>
      <w:r w:rsidR="006B05A7" w:rsidRPr="004D68D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 xml:space="preserve">Weed </w:t>
      </w:r>
      <w:proofErr w:type="spellStart"/>
      <w:r w:rsidR="006B05A7" w:rsidRPr="004D68D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Technol</w:t>
      </w:r>
      <w:proofErr w:type="spellEnd"/>
      <w:r w:rsidR="004D68DF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33</w:t>
      </w:r>
      <w:r w:rsidR="004D68DF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217-231 </w:t>
      </w:r>
    </w:p>
    <w:p w14:paraId="688B42E6" w14:textId="3931A831" w:rsidR="006B05A7" w:rsidRPr="00F75FE9" w:rsidRDefault="00006D03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Marochio CA, MRR Bevilaqua, HK Takano, CA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Mangolim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RS Oliveira Junior, MFPS Machado (2017).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Genetic admixture in species of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(Asteraceae) as revealed by microsatellite markers. </w:t>
      </w:r>
      <w:r w:rsidR="006B05A7" w:rsidRPr="00F75FE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Acta Sci Agron</w:t>
      </w:r>
      <w:r w:rsidRPr="00F75FE9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F75FE9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39</w:t>
      </w:r>
      <w:r w:rsidRPr="00F75FE9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F75FE9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437-445</w:t>
      </w:r>
    </w:p>
    <w:p w14:paraId="41926578" w14:textId="581BA12B" w:rsidR="006B05A7" w:rsidRPr="002F1CF8" w:rsidRDefault="00F75FE9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Mc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C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auley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CL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, WG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Johnson,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BG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Young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(2018).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Efficacy of halauxifen-methyl on glyphosate-resistant horseweed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Erigeron canadensis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). </w:t>
      </w:r>
      <w:r w:rsidR="006B05A7" w:rsidRPr="00F75FE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Weed Sci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 66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758-763</w:t>
      </w:r>
    </w:p>
    <w:p w14:paraId="284B865C" w14:textId="356F58C5" w:rsidR="006B05A7" w:rsidRPr="002F1CF8" w:rsidRDefault="00F75FE9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Mc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C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auley CL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, BG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Young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(2019). 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Differential response of horseweed (</w:t>
      </w:r>
      <w:r w:rsidR="006B05A7" w:rsidRPr="002F1CF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Conyza canadensis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) to halauxifen-methyl, 2,4-D, and dicamba. </w:t>
      </w:r>
      <w:r w:rsidR="006B05A7" w:rsidRPr="00F75FE9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Weed Technol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 xml:space="preserve"> 33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673-679</w:t>
      </w:r>
    </w:p>
    <w:p w14:paraId="746E421F" w14:textId="40EC19F3" w:rsidR="006B05A7" w:rsidRPr="00D6520C" w:rsidRDefault="00D6520C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Mendes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RR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, HK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Takano,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A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Gonçalves Netto,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GJ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Picoli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Junior,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AL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Cavenaghi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VFV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Silva,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M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Nicolai,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PJ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Christoffoleti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RS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Oliveira Junior,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MSC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Melo,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RF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Lopez Ovejero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(2021).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Monitoring glyphosate- and chlorimuron- resistant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Conyza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spp. populations in Brazil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 xml:space="preserve">. </w:t>
      </w:r>
      <w:r w:rsidRPr="00D6520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An </w:t>
      </w:r>
      <w:proofErr w:type="spellStart"/>
      <w:r w:rsidRPr="00D6520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Acad</w:t>
      </w:r>
      <w:proofErr w:type="spellEnd"/>
      <w:r w:rsidRPr="00D6520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Bras </w:t>
      </w:r>
      <w:proofErr w:type="spellStart"/>
      <w:r w:rsidRPr="00D6520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Cienc</w:t>
      </w:r>
      <w:proofErr w:type="spellEnd"/>
      <w:r w:rsidRPr="00D6520C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D6520C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93</w:t>
      </w:r>
      <w:r w:rsidRPr="00D6520C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D6520C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e20190425 </w:t>
      </w:r>
    </w:p>
    <w:p w14:paraId="44EBA323" w14:textId="41301CE0" w:rsidR="006B05A7" w:rsidRPr="002F1CF8" w:rsidRDefault="00D6520C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lastRenderedPageBreak/>
        <w:t>Peterson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SA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Mc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aster,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DE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Riechers,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J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Skelton,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PW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Stahlman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(2016).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2,4-D past, present, and future: a review. </w:t>
      </w:r>
      <w:r w:rsidR="006B05A7" w:rsidRPr="00D6520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Technol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303-345 </w:t>
      </w:r>
    </w:p>
    <w:p w14:paraId="1EDE4391" w14:textId="480B875F" w:rsidR="006B05A7" w:rsidRPr="00C53368" w:rsidRDefault="00981C2E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Pinho CF, JFL Leal, AS Souza, GFPB Oliveira, C Oliveira, AC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Langaro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AFL Machado, PJ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Christoffoleti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LHS Zobiole (2019).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First evidence of multiple resistance of Sumatran fleabane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Conyza sumatrensis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(Retz.) E. Walker) to five-mode-of-action herbicides. </w:t>
      </w:r>
      <w:proofErr w:type="spellStart"/>
      <w:r w:rsidR="006B05A7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>Aust</w:t>
      </w:r>
      <w:proofErr w:type="spellEnd"/>
      <w:r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>J</w:t>
      </w:r>
      <w:r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 xml:space="preserve">Crop </w:t>
      </w:r>
      <w:proofErr w:type="spellStart"/>
      <w:r w:rsidR="006B05A7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>Sci</w:t>
      </w:r>
      <w:proofErr w:type="spellEnd"/>
      <w:r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13</w:t>
      </w:r>
      <w:r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1688-169</w:t>
      </w:r>
    </w:p>
    <w:p w14:paraId="4FD2E0F3" w14:textId="75CB219E" w:rsidR="006B05A7" w:rsidRPr="0028295D" w:rsidRDefault="008A72BA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Queiroz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AR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CA </w:t>
      </w:r>
      <w:proofErr w:type="spellStart"/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Delatorre</w:t>
      </w:r>
      <w:proofErr w:type="spellEnd"/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FR</w:t>
      </w: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Lucio,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CVS</w:t>
      </w: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Rossi,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LHS</w:t>
      </w: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Zobiole,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</w:t>
      </w: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Merotto Júnior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8A72BA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(2020).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Rapid necrosis: a novel plant resistance mechanism to 2,4-D. </w:t>
      </w:r>
      <w:r w:rsidR="006B05A7" w:rsidRPr="008A72B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 w:rsidR="006B05A7" w:rsidRPr="00981C2E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68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981C2E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-</w:t>
      </w:r>
      <w:r w:rsidR="006B05A7" w:rsidRPr="00981C2E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18</w:t>
      </w:r>
    </w:p>
    <w:p w14:paraId="680CAADC" w14:textId="5F36A45C" w:rsidR="006B05A7" w:rsidRPr="002F1CF8" w:rsidRDefault="0028295D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Rodrigues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BN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FS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Almeida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(2018).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Guia de herbicidas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7th ed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ition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. Londrina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Paraná, Brazil,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Ed. Authors</w:t>
      </w:r>
    </w:p>
    <w:p w14:paraId="490398EE" w14:textId="6F59C90A" w:rsidR="006B05A7" w:rsidRPr="002F1CF8" w:rsidRDefault="0028295D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Ruiz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MR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CA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Mangolin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RS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Oliveira Junior, R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R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Mendes,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HK 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Takano,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TG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Eisele</w:t>
      </w:r>
      <w:proofErr w:type="spellEnd"/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PSM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Fátima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28295D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(2022).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Mechanisms that may lead to high genetic divergence and to the invasive success of tall fleabane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; Asteraceae). </w:t>
      </w:r>
      <w:r w:rsidR="006B05A7" w:rsidRPr="0028295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70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64-78</w:t>
      </w:r>
    </w:p>
    <w:p w14:paraId="2A0EC897" w14:textId="2121E1FC" w:rsidR="006B05A7" w:rsidRPr="002F1CF8" w:rsidRDefault="00EF58AB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Santos G, RS Oliveira Junior, J Constantin, AC </w:t>
      </w:r>
      <w:proofErr w:type="spellStart"/>
      <w:r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Francischini</w:t>
      </w:r>
      <w:proofErr w:type="spellEnd"/>
      <w:r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JB Osipe (2014).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Multiple resistance of 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to chlorimuron-ethyl and to glyphosate. </w:t>
      </w:r>
      <w:r w:rsidR="006B05A7" w:rsidRPr="00EF58AB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>Planta Daninha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iCs/>
          <w:kern w:val="0"/>
          <w:sz w:val="24"/>
          <w:szCs w:val="24"/>
          <w:lang w:val="en-US" w:eastAsia="es-ES"/>
          <w14:ligatures w14:val="none"/>
        </w:rPr>
        <w:t>32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409-416</w:t>
      </w:r>
    </w:p>
    <w:p w14:paraId="14321270" w14:textId="7D950DAF" w:rsidR="006B05A7" w:rsidRPr="00C53368" w:rsidRDefault="00EF58AB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Schultz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JL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LA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Chatham,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CW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Riggins,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PJ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Tranel,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KW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Bradley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</w:t>
      </w:r>
      <w:r w:rsidR="0027745C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15).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Distribution of herbicide resistances and molecular mechanisms conferring resistance in Missouri waterhemp (</w:t>
      </w:r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 xml:space="preserve">Amaranthus </w:t>
      </w:r>
      <w:proofErr w:type="spellStart"/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>rudis</w:t>
      </w:r>
      <w:proofErr w:type="spellEnd"/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Sauer) populations. </w:t>
      </w:r>
      <w:r w:rsidR="006B05A7" w:rsidRPr="00C5336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es-ES"/>
          <w14:ligatures w14:val="none"/>
        </w:rPr>
        <w:t xml:space="preserve">Weed </w:t>
      </w:r>
      <w:proofErr w:type="spellStart"/>
      <w:r w:rsidR="006B05A7" w:rsidRPr="00C5336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es-ES"/>
          <w14:ligatures w14:val="none"/>
        </w:rPr>
        <w:t>Sci</w:t>
      </w:r>
      <w:proofErr w:type="spellEnd"/>
      <w:r w:rsidRPr="00C5336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63</w:t>
      </w:r>
      <w:r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336-345</w:t>
      </w:r>
    </w:p>
    <w:p w14:paraId="5FFA1466" w14:textId="4D861BB1" w:rsidR="006B05A7" w:rsidRPr="00C53368" w:rsidRDefault="00EF58AB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Silva PV</w:t>
      </w:r>
      <w:r w:rsidR="0027745C"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DM </w:t>
      </w:r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Barros, </w:t>
      </w:r>
      <w:r w:rsidR="0027745C"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ER </w:t>
      </w:r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Domingos, </w:t>
      </w:r>
      <w:r w:rsidR="0027745C"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PA </w:t>
      </w:r>
      <w:proofErr w:type="spellStart"/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Monquero</w:t>
      </w:r>
      <w:proofErr w:type="spellEnd"/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 w:rsidR="0027745C"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RD </w:t>
      </w:r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Dias, </w:t>
      </w:r>
      <w:r w:rsidR="0027745C"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MA </w:t>
      </w:r>
      <w:proofErr w:type="spellStart"/>
      <w:r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Vendruscolo</w:t>
      </w:r>
      <w:proofErr w:type="spellEnd"/>
      <w:r w:rsidR="0027745C" w:rsidRPr="0027745C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(2023).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Control of hairy fleabane in sequential and pre-emergence applications in soybean crops. </w:t>
      </w:r>
      <w:proofErr w:type="spellStart"/>
      <w:r w:rsidR="006B05A7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>Rev</w:t>
      </w:r>
      <w:proofErr w:type="spellEnd"/>
      <w:r w:rsidR="0027745C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C5336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>Caatinga</w:t>
      </w:r>
      <w:r w:rsidR="0027745C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36</w:t>
      </w:r>
      <w:r w:rsidR="0027745C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>748-756</w:t>
      </w:r>
    </w:p>
    <w:p w14:paraId="17ED725C" w14:textId="435346FB" w:rsidR="006B05A7" w:rsidRPr="00667851" w:rsidRDefault="005E1800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5E1800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Souza AP, FA Ferreira, AA Silva, AA Cardoso, HA Ruiz (2000).</w:t>
      </w:r>
      <w:r w:rsidR="006B05A7" w:rsidRPr="005E1800">
        <w:rPr>
          <w:rFonts w:ascii="Times New Roman" w:eastAsia="Calibri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Logistic equation </w:t>
      </w:r>
      <w:proofErr w:type="gramStart"/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use</w:t>
      </w:r>
      <w:proofErr w:type="gramEnd"/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in studying the dose-response of glyphosate and imazapyr by using bioassays. </w:t>
      </w:r>
      <w:r w:rsidR="006B05A7" w:rsidRPr="00667851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Planta Daninha</w:t>
      </w:r>
      <w:r w:rsidRPr="00667851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667851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18</w:t>
      </w:r>
      <w:r w:rsidRPr="00667851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667851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17-28</w:t>
      </w:r>
    </w:p>
    <w:p w14:paraId="0B48FD14" w14:textId="7BFBA229" w:rsidR="006B05A7" w:rsidRPr="002F1CF8" w:rsidRDefault="00667851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5E180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Streibig J</w:t>
      </w:r>
      <w:r w:rsidR="006B05A7" w:rsidRPr="005E180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C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(1988). </w:t>
      </w:r>
      <w:r w:rsidR="006B05A7" w:rsidRPr="005E1800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Herbicide bioassay. </w:t>
      </w:r>
      <w:r w:rsidR="006B05A7" w:rsidRPr="00667851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Weed Res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28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479-484</w:t>
      </w:r>
    </w:p>
    <w:p w14:paraId="0A21B0F3" w14:textId="646000FD" w:rsidR="006B05A7" w:rsidRPr="002F1CF8" w:rsidRDefault="00667851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Takano HK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, R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Beffa,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Preston,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Westra,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FE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Dayan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(2020).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Glufosinate enhances the activity of protoporphyrinogen oxidase inhibitors. </w:t>
      </w:r>
      <w:r w:rsidR="006B05A7" w:rsidRPr="00667851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68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324-332</w:t>
      </w:r>
    </w:p>
    <w:p w14:paraId="498E1519" w14:textId="5C6AF276" w:rsidR="006B05A7" w:rsidRPr="002F1CF8" w:rsidRDefault="00667851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Takano HK, RS Oliveira Junior, J Constantin, GBP Braz, EA </w:t>
      </w:r>
      <w:proofErr w:type="spellStart"/>
      <w:r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Gheno</w:t>
      </w:r>
      <w:proofErr w:type="spellEnd"/>
      <w:r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(2017).</w:t>
      </w:r>
      <w:r w:rsidR="006B05A7" w:rsidRPr="00C5336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Goosegrass resistant to glyphosate in Brazil. </w:t>
      </w:r>
      <w:r w:rsidR="006B05A7" w:rsidRPr="009678A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Planta Daninha</w:t>
      </w:r>
      <w:r w:rsidR="009678A4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35</w:t>
      </w:r>
      <w:r w:rsidR="009678A4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e017163071</w:t>
      </w:r>
    </w:p>
    <w:p w14:paraId="6ACC2A1C" w14:textId="3796002A" w:rsidR="006B05A7" w:rsidRPr="002F1CF8" w:rsidRDefault="009678A4" w:rsidP="009678A4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Van Horn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ML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Moretti,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RR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Robertson,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K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Segobye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SC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Weller,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BG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Young,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WG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 Johnson,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B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Schulz,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AC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Green,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T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Jeffery,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MA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Lespérance,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FJ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Tardif,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PH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Sikkema,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JC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Hall,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MD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Mc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ean, M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B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Lawton,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RD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Sammons,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D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Wang,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Westra,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TA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Gaines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(2018).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Glyphosate resistance in </w:t>
      </w:r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 xml:space="preserve">Ambrosia </w:t>
      </w:r>
      <w:proofErr w:type="spellStart"/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>trifida</w:t>
      </w:r>
      <w:proofErr w:type="spellEnd"/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: Part 1. Novel rapid cell death response to glyphosate. </w:t>
      </w:r>
      <w:r w:rsidR="006B05A7" w:rsidRPr="009678A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Pest Manag</w:t>
      </w:r>
      <w:r w:rsidRPr="009678A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9678A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Sci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74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1071-1078</w:t>
      </w:r>
    </w:p>
    <w:p w14:paraId="35785FB2" w14:textId="3BEAD612" w:rsidR="006B05A7" w:rsidRPr="002F1CF8" w:rsidRDefault="009678A4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Waggoner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BS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, TC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Mueller,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JA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Bond,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LE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Steckel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(2011).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Control of glyphosate-resistant horseweed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Conyza canadensis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) with saflufenacil tank mixtures in no-till cotton. </w:t>
      </w:r>
      <w:r w:rsidR="006B05A7" w:rsidRPr="009678A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 xml:space="preserve">Weed </w:t>
      </w:r>
      <w:proofErr w:type="spellStart"/>
      <w:r w:rsidR="006B05A7" w:rsidRPr="009678A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GB" w:eastAsia="es-ES"/>
          <w14:ligatures w14:val="none"/>
        </w:rPr>
        <w:t>Technol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25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GB" w:eastAsia="es-ES"/>
          <w14:ligatures w14:val="none"/>
        </w:rPr>
        <w:t>310-315</w:t>
      </w:r>
    </w:p>
    <w:p w14:paraId="65FBFC50" w14:textId="1627B789" w:rsidR="006B05A7" w:rsidRPr="002F1CF8" w:rsidRDefault="00547CF7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Ye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H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Huang,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J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Alexander,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W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Liu,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RJ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Millwood,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J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Wang,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CN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Stewart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(2016).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Field studies on dynamic pollen production, deposition, and dispersion of glyphosate-resistant horseweed (</w:t>
      </w:r>
      <w:r w:rsidR="006B05A7" w:rsidRPr="002F1CF8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>Conyza canadensis</w:t>
      </w:r>
      <w:r w:rsidR="006B05A7" w:rsidRPr="002F1CF8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).</w:t>
      </w:r>
      <w:r w:rsidR="006B05A7" w:rsidRPr="002F1CF8">
        <w:rPr>
          <w:rFonts w:ascii="Times New Roman" w:eastAsia="Calibri" w:hAnsi="Times New Roman" w:cs="Times New Roman"/>
          <w:b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547CF7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en-US" w:eastAsia="es-ES"/>
          <w14:ligatures w14:val="none"/>
        </w:rPr>
        <w:t>Weed Sci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64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101-111</w:t>
      </w:r>
    </w:p>
    <w:p w14:paraId="05213FBD" w14:textId="3823ACFD" w:rsidR="0015275C" w:rsidRPr="00547CF7" w:rsidRDefault="00912B70" w:rsidP="002F1CF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0"/>
          <w:lang w:val="en-US" w:eastAsia="es-ES"/>
          <w14:ligatures w14:val="none"/>
        </w:rPr>
      </w:pP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Zobiole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LHS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VGC 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Pereira,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AJP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Albrecht,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RS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Rubin,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FS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</w:t>
      </w:r>
      <w:proofErr w:type="spellStart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Adegas</w:t>
      </w:r>
      <w:proofErr w:type="spellEnd"/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LP</w:t>
      </w:r>
      <w:r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Albrecht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(2019).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Paraquat resistance of Sumatran fleabane (</w:t>
      </w:r>
      <w:r w:rsidR="006B05A7" w:rsidRPr="002F1CF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 w:eastAsia="es-ES"/>
          <w14:ligatures w14:val="none"/>
        </w:rPr>
        <w:t>Conyza sumatrensis</w:t>
      </w:r>
      <w:r w:rsidR="006B05A7" w:rsidRPr="002F1CF8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). </w:t>
      </w:r>
      <w:r w:rsidR="006B05A7" w:rsidRPr="00912B70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s-ES"/>
          <w14:ligatures w14:val="none"/>
        </w:rPr>
        <w:t>Planta Daninha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val="en-US" w:eastAsia="es-ES"/>
          <w14:ligatures w14:val="none"/>
        </w:rPr>
        <w:t xml:space="preserve"> </w:t>
      </w:r>
      <w:r w:rsidR="006B05A7" w:rsidRPr="00547CF7">
        <w:rPr>
          <w:rFonts w:ascii="Times New Roman" w:eastAsia="Calibri" w:hAnsi="Times New Roman" w:cs="Times New Roman"/>
          <w:iCs/>
          <w:kern w:val="0"/>
          <w:sz w:val="24"/>
          <w:szCs w:val="24"/>
          <w:lang w:val="en-US" w:eastAsia="es-ES"/>
          <w14:ligatures w14:val="none"/>
        </w:rPr>
        <w:t>37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val="en-US" w:eastAsia="es-ES"/>
          <w14:ligatures w14:val="none"/>
        </w:rPr>
        <w:t>:</w:t>
      </w:r>
      <w:r w:rsidR="006B05A7" w:rsidRPr="00547CF7">
        <w:rPr>
          <w:rFonts w:ascii="Times New Roman" w:eastAsia="Calibri" w:hAnsi="Times New Roman" w:cs="Times New Roman"/>
          <w:kern w:val="0"/>
          <w:sz w:val="24"/>
          <w:szCs w:val="24"/>
          <w:lang w:val="en-US" w:eastAsia="es-ES"/>
          <w14:ligatures w14:val="none"/>
        </w:rPr>
        <w:t>e01918326</w:t>
      </w:r>
    </w:p>
    <w:p w14:paraId="3C618A01" w14:textId="450AC986" w:rsidR="0015275C" w:rsidRPr="00D33F52" w:rsidRDefault="0015275C" w:rsidP="00A73B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F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B361AA" wp14:editId="50A42ACD">
            <wp:extent cx="4322445" cy="3048000"/>
            <wp:effectExtent l="0" t="0" r="1905" b="0"/>
            <wp:docPr id="2549699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967FA" w14:textId="64548E1E" w:rsidR="00432839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r w:rsidR="0062091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33F52"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209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Dose-response curve for the control of Sumatran </w:t>
      </w:r>
      <w:r w:rsidR="0027664D" w:rsidRPr="00D33F52">
        <w:rPr>
          <w:rFonts w:ascii="Times New Roman" w:hAnsi="Times New Roman" w:cs="Times New Roman"/>
          <w:sz w:val="24"/>
          <w:szCs w:val="24"/>
          <w:lang w:val="en-US"/>
        </w:rPr>
        <w:t>fleabane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7F41CB" w:rsidRPr="00D33F52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at 28 days after diquat application</w:t>
      </w:r>
    </w:p>
    <w:p w14:paraId="62844E2B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A3DF81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1B4C7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BD7F87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5CD60F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7081AE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A490E4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577295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F8C8E9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B66B36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552EC2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BF4C7F" w14:textId="7B21F0A6" w:rsidR="00432839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11DF6B9" wp14:editId="182120AC">
            <wp:extent cx="5761355" cy="3926205"/>
            <wp:effectExtent l="0" t="0" r="0" b="0"/>
            <wp:docPr id="7667353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F762" w14:textId="1ADCF40F" w:rsidR="00432839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r w:rsidR="0062091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33F52"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209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Fleabane access</w:t>
      </w:r>
      <w:r w:rsidR="007F41CB" w:rsidRPr="00D33F52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with or without indication of rapid necrosis in response to 2,4-D</w:t>
      </w:r>
      <w:r w:rsidR="00A66924"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</w:p>
    <w:p w14:paraId="6F5466E1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2D37B8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88E21A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03D512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568E22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25D085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0E5D33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21158B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C79EFF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43B116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D6DF41" w14:textId="77777777" w:rsidR="00432839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5AA103" w14:textId="34FF4DC2" w:rsidR="0015275C" w:rsidRPr="00D33F52" w:rsidRDefault="00432839" w:rsidP="00A73B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54C1872" wp14:editId="1DD8C77B">
            <wp:extent cx="4322445" cy="3048000"/>
            <wp:effectExtent l="0" t="0" r="1905" b="0"/>
            <wp:docPr id="1987123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196B1" w14:textId="0298B491" w:rsidR="0015275C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r w:rsidR="0062091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33F52"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62091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Dose-response curve for the control of Sumatran fleabane access</w:t>
      </w:r>
      <w:r w:rsidR="00630882" w:rsidRPr="00D33F52"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at 28 days after 2,4-D</w:t>
      </w:r>
      <w:r w:rsidR="00A66924"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FF04B9" w14:textId="77777777" w:rsidR="0015275C" w:rsidRPr="00D33F52" w:rsidRDefault="0015275C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9A2EA5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38BCB1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2C757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D33261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1CB670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E082AB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CEC838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49E77B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6FA74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24D516" w14:textId="77777777" w:rsidR="005E1F15" w:rsidRPr="00D33F52" w:rsidRDefault="005E1F15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D1F454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C0FF2" w14:textId="379F6C15" w:rsidR="00901930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1</w:t>
      </w:r>
      <w:r w:rsidR="00ED01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>Fleabane control at 28 days after the application of herbicides diquat, saflufenacil, glu</w:t>
      </w:r>
      <w:r w:rsidR="00D33F52">
        <w:rPr>
          <w:rFonts w:ascii="Times New Roman" w:hAnsi="Times New Roman" w:cs="Times New Roman"/>
          <w:sz w:val="24"/>
          <w:szCs w:val="24"/>
          <w:lang w:val="en-US"/>
        </w:rPr>
        <w:t>fosinate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>, and glyphosate. MS and PR Brazil, 2020 and 2021</w:t>
      </w:r>
    </w:p>
    <w:tbl>
      <w:tblPr>
        <w:tblW w:w="1088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190"/>
        <w:gridCol w:w="1191"/>
        <w:gridCol w:w="1191"/>
        <w:gridCol w:w="1191"/>
        <w:gridCol w:w="737"/>
        <w:gridCol w:w="1077"/>
        <w:gridCol w:w="1191"/>
        <w:gridCol w:w="1191"/>
        <w:gridCol w:w="1191"/>
      </w:tblGrid>
      <w:tr w:rsidR="006B05A7" w:rsidRPr="00ED016E" w14:paraId="2B1572A4" w14:textId="77777777" w:rsidTr="006B05A7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FCD" w14:textId="2CB03324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7E4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Diquat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FA6FA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Saflufenacil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C9A8D91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Glufosinate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035F873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Glyphosate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92885" w14:textId="31595AF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460DD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Diquat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4E35D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Saflufenacil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A7341E5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Glufosinate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2B3E999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Glyphosate</w:t>
            </w:r>
          </w:p>
        </w:tc>
      </w:tr>
      <w:tr w:rsidR="006B05A7" w:rsidRPr="00ED016E" w14:paraId="1260563A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0DBD22B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64" w:type="dxa"/>
            <w:gridSpan w:val="4"/>
            <w:shd w:val="clear" w:color="auto" w:fill="auto"/>
            <w:noWrap/>
            <w:vAlign w:val="bottom"/>
          </w:tcPr>
          <w:p w14:paraId="3C1ABE99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737" w:type="dxa"/>
          </w:tcPr>
          <w:p w14:paraId="690EBA89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0" w:type="dxa"/>
            <w:gridSpan w:val="4"/>
          </w:tcPr>
          <w:p w14:paraId="75171A7E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6B05A7" w:rsidRPr="00ED016E" w14:paraId="51614502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14D8ABB1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73F56C1" w14:textId="3133AAE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3EFFF75" w14:textId="20E892E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191" w:type="dxa"/>
            <w:vAlign w:val="center"/>
          </w:tcPr>
          <w:p w14:paraId="19280113" w14:textId="64D1940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EBDFA03" w14:textId="5EC9E33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3.5</w:t>
            </w:r>
          </w:p>
        </w:tc>
        <w:tc>
          <w:tcPr>
            <w:tcW w:w="737" w:type="dxa"/>
            <w:vAlign w:val="center"/>
          </w:tcPr>
          <w:p w14:paraId="492D2333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77" w:type="dxa"/>
            <w:vAlign w:val="center"/>
          </w:tcPr>
          <w:p w14:paraId="63AC3AC2" w14:textId="77885C9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1571F82" w14:textId="14EFDCE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660A1CE" w14:textId="067FE29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242C450A" w14:textId="4B5DF22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4.8</w:t>
            </w:r>
          </w:p>
        </w:tc>
      </w:tr>
      <w:tr w:rsidR="006B05A7" w:rsidRPr="00ED016E" w14:paraId="4AD1A693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1BA1364B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2ACA98D" w14:textId="5CBC9D1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63.5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4F13296" w14:textId="1FCC671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1191" w:type="dxa"/>
            <w:vAlign w:val="center"/>
          </w:tcPr>
          <w:p w14:paraId="342E45FC" w14:textId="106BB1E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91" w:type="dxa"/>
            <w:vAlign w:val="center"/>
          </w:tcPr>
          <w:p w14:paraId="6E3FB5CD" w14:textId="6D86425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3.0</w:t>
            </w:r>
          </w:p>
        </w:tc>
        <w:tc>
          <w:tcPr>
            <w:tcW w:w="737" w:type="dxa"/>
            <w:vAlign w:val="center"/>
          </w:tcPr>
          <w:p w14:paraId="1D2E70D6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77" w:type="dxa"/>
            <w:vAlign w:val="center"/>
          </w:tcPr>
          <w:p w14:paraId="19AB82DC" w14:textId="286658A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3C7DF7A" w14:textId="5C070D9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05D535F2" w14:textId="11EAF7C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5F834A99" w14:textId="01E5862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17.8</w:t>
            </w:r>
          </w:p>
        </w:tc>
      </w:tr>
      <w:tr w:rsidR="006B05A7" w:rsidRPr="00ED016E" w14:paraId="5799D946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67F02AD2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3A796D4" w14:textId="71F1AC9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F520301" w14:textId="5668F8C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191" w:type="dxa"/>
            <w:vAlign w:val="center"/>
          </w:tcPr>
          <w:p w14:paraId="184A1BDA" w14:textId="4A7E7CE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E1B2F8B" w14:textId="712B87B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1.0</w:t>
            </w:r>
          </w:p>
        </w:tc>
        <w:tc>
          <w:tcPr>
            <w:tcW w:w="737" w:type="dxa"/>
            <w:vAlign w:val="center"/>
          </w:tcPr>
          <w:p w14:paraId="23FBCDED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77" w:type="dxa"/>
            <w:vAlign w:val="center"/>
          </w:tcPr>
          <w:p w14:paraId="0E17BC44" w14:textId="4500511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3F9E34E6" w14:textId="5E6FB45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3603E3D" w14:textId="497BA3F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0E40661B" w14:textId="28C355F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30.3</w:t>
            </w:r>
          </w:p>
        </w:tc>
      </w:tr>
      <w:tr w:rsidR="006B05A7" w:rsidRPr="00ED016E" w14:paraId="535A2CAA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44312680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C9ECEB3" w14:textId="2AB3488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31.3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36C6677" w14:textId="57810A1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0A3E156" w14:textId="549A0B7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A086E9E" w14:textId="099B526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0.5</w:t>
            </w:r>
          </w:p>
        </w:tc>
        <w:tc>
          <w:tcPr>
            <w:tcW w:w="737" w:type="dxa"/>
            <w:vAlign w:val="center"/>
          </w:tcPr>
          <w:p w14:paraId="70887D16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77" w:type="dxa"/>
            <w:vAlign w:val="center"/>
          </w:tcPr>
          <w:p w14:paraId="3F339F17" w14:textId="7F006EC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91" w:type="dxa"/>
            <w:vAlign w:val="center"/>
          </w:tcPr>
          <w:p w14:paraId="3A6B16FD" w14:textId="774E26D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395DB563" w14:textId="60E256D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5B0469C2" w14:textId="2AB87FD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30.3</w:t>
            </w:r>
          </w:p>
        </w:tc>
      </w:tr>
      <w:tr w:rsidR="006B05A7" w:rsidRPr="00ED016E" w14:paraId="4311D12C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457052E5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128EC91" w14:textId="4F6FC99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61.0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A083432" w14:textId="0B476E7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47C71A83" w14:textId="4BEB0B1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3C50E959" w14:textId="3FA2BCB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3.3</w:t>
            </w:r>
          </w:p>
        </w:tc>
        <w:tc>
          <w:tcPr>
            <w:tcW w:w="737" w:type="dxa"/>
            <w:vAlign w:val="center"/>
          </w:tcPr>
          <w:p w14:paraId="0714BDB9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77" w:type="dxa"/>
            <w:vAlign w:val="center"/>
          </w:tcPr>
          <w:p w14:paraId="41BF1323" w14:textId="3966C8B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5A4DF0A4" w14:textId="0CAA9E9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7B15B5FE" w14:textId="6B15119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0AF3B921" w14:textId="2F044D6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6.5</w:t>
            </w:r>
          </w:p>
        </w:tc>
      </w:tr>
      <w:tr w:rsidR="006B05A7" w:rsidRPr="00ED016E" w14:paraId="3C0A6836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1D9268F1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4D0A4DE" w14:textId="0E7E21F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66.5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3519EC9" w14:textId="1977701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1191" w:type="dxa"/>
            <w:vAlign w:val="center"/>
          </w:tcPr>
          <w:p w14:paraId="0D453919" w14:textId="0D78B22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1" w:type="dxa"/>
            <w:vAlign w:val="center"/>
          </w:tcPr>
          <w:p w14:paraId="33AC30C6" w14:textId="4D0B8F0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3.3</w:t>
            </w:r>
          </w:p>
        </w:tc>
        <w:tc>
          <w:tcPr>
            <w:tcW w:w="737" w:type="dxa"/>
            <w:vAlign w:val="center"/>
          </w:tcPr>
          <w:p w14:paraId="6FD7FAB6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77" w:type="dxa"/>
            <w:vAlign w:val="center"/>
          </w:tcPr>
          <w:p w14:paraId="4BBA0FB4" w14:textId="518C03E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51.3</w:t>
            </w:r>
          </w:p>
        </w:tc>
        <w:tc>
          <w:tcPr>
            <w:tcW w:w="1191" w:type="dxa"/>
            <w:vAlign w:val="center"/>
          </w:tcPr>
          <w:p w14:paraId="3BF94255" w14:textId="26603AD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4729DD4" w14:textId="46A8521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91" w:type="dxa"/>
            <w:vAlign w:val="center"/>
          </w:tcPr>
          <w:p w14:paraId="1C1DBDE3" w14:textId="4728774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11.0</w:t>
            </w:r>
          </w:p>
        </w:tc>
      </w:tr>
      <w:tr w:rsidR="006B05A7" w:rsidRPr="00ED016E" w14:paraId="6F5A591F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764CA2AD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509B67D" w14:textId="75E1DBC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0AACC21" w14:textId="7D4D051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0365C511" w14:textId="35F2B82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1" w:type="dxa"/>
            <w:vAlign w:val="center"/>
          </w:tcPr>
          <w:p w14:paraId="7245BDB1" w14:textId="17C360C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4.0</w:t>
            </w:r>
          </w:p>
        </w:tc>
        <w:tc>
          <w:tcPr>
            <w:tcW w:w="737" w:type="dxa"/>
            <w:vAlign w:val="center"/>
          </w:tcPr>
          <w:p w14:paraId="788B290E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B37</w:t>
            </w:r>
          </w:p>
        </w:tc>
        <w:tc>
          <w:tcPr>
            <w:tcW w:w="1077" w:type="dxa"/>
            <w:vAlign w:val="center"/>
          </w:tcPr>
          <w:p w14:paraId="0DB304BC" w14:textId="32ABB5C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27C96382" w14:textId="5C38258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73FB4971" w14:textId="40BCDF0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0A3D5E61" w14:textId="53FB8BC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4.5</w:t>
            </w:r>
          </w:p>
        </w:tc>
      </w:tr>
      <w:tr w:rsidR="006B05A7" w:rsidRPr="00ED016E" w14:paraId="253D12F1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7819E8B4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50137B5" w14:textId="1168E6D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AC2C709" w14:textId="5900432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191" w:type="dxa"/>
            <w:vAlign w:val="center"/>
          </w:tcPr>
          <w:p w14:paraId="4D5A8B85" w14:textId="44154FB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5A752B2" w14:textId="0ECE8E4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0.0</w:t>
            </w:r>
          </w:p>
        </w:tc>
        <w:tc>
          <w:tcPr>
            <w:tcW w:w="737" w:type="dxa"/>
            <w:vAlign w:val="center"/>
          </w:tcPr>
          <w:p w14:paraId="1F1C474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B38</w:t>
            </w:r>
          </w:p>
        </w:tc>
        <w:tc>
          <w:tcPr>
            <w:tcW w:w="1077" w:type="dxa"/>
            <w:vAlign w:val="center"/>
          </w:tcPr>
          <w:p w14:paraId="1AE7A672" w14:textId="022D74C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43E91E9C" w14:textId="24918ED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1480D2D" w14:textId="659EA95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242E74A1" w14:textId="3B5BAC3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3.3</w:t>
            </w:r>
          </w:p>
        </w:tc>
      </w:tr>
      <w:tr w:rsidR="006B05A7" w:rsidRPr="00ED016E" w14:paraId="0384E945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330C61D9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D128171" w14:textId="4B1CFB1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58.8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9FCD46C" w14:textId="0892D48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191" w:type="dxa"/>
            <w:vAlign w:val="center"/>
          </w:tcPr>
          <w:p w14:paraId="036DFD31" w14:textId="30EB3A4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D96FEFE" w14:textId="20828F6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0.8</w:t>
            </w:r>
          </w:p>
        </w:tc>
        <w:tc>
          <w:tcPr>
            <w:tcW w:w="737" w:type="dxa"/>
            <w:vAlign w:val="center"/>
          </w:tcPr>
          <w:p w14:paraId="14C126F9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B39</w:t>
            </w:r>
          </w:p>
        </w:tc>
        <w:tc>
          <w:tcPr>
            <w:tcW w:w="1077" w:type="dxa"/>
            <w:vAlign w:val="center"/>
          </w:tcPr>
          <w:p w14:paraId="5100E9FC" w14:textId="2D20F54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35.0</w:t>
            </w:r>
          </w:p>
        </w:tc>
        <w:tc>
          <w:tcPr>
            <w:tcW w:w="1191" w:type="dxa"/>
            <w:vAlign w:val="center"/>
          </w:tcPr>
          <w:p w14:paraId="2B1D45FC" w14:textId="1CDDBAE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1D129B6E" w14:textId="048FD26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91" w:type="dxa"/>
            <w:vAlign w:val="center"/>
          </w:tcPr>
          <w:p w14:paraId="6DE19E5B" w14:textId="6B44ED3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3.0</w:t>
            </w:r>
          </w:p>
        </w:tc>
      </w:tr>
      <w:tr w:rsidR="006B05A7" w:rsidRPr="00ED016E" w14:paraId="4DD5908F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1CF5B83C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9A9AA2B" w14:textId="5DCBAEF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37.5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CF1FB54" w14:textId="38A942A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1" w:type="dxa"/>
            <w:vAlign w:val="center"/>
          </w:tcPr>
          <w:p w14:paraId="0A4398D7" w14:textId="2D500F7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5E4B22FB" w14:textId="5D2D429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1.5</w:t>
            </w:r>
          </w:p>
        </w:tc>
        <w:tc>
          <w:tcPr>
            <w:tcW w:w="737" w:type="dxa"/>
            <w:vAlign w:val="center"/>
          </w:tcPr>
          <w:p w14:paraId="0389DDD7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B40</w:t>
            </w:r>
          </w:p>
        </w:tc>
        <w:tc>
          <w:tcPr>
            <w:tcW w:w="1077" w:type="dxa"/>
            <w:vAlign w:val="center"/>
          </w:tcPr>
          <w:p w14:paraId="5B102EBC" w14:textId="3E191A8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16DDD3E4" w14:textId="3D8EC65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7169364" w14:textId="667E75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91" w:type="dxa"/>
            <w:vAlign w:val="center"/>
          </w:tcPr>
          <w:p w14:paraId="18213AB3" w14:textId="2743CCE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3.5</w:t>
            </w:r>
          </w:p>
        </w:tc>
      </w:tr>
      <w:tr w:rsidR="006B05A7" w:rsidRPr="00ED016E" w14:paraId="2A5D9F42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1517AC3F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837AEC0" w14:textId="1352799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B37C8A1" w14:textId="156A213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91" w:type="dxa"/>
            <w:vAlign w:val="center"/>
          </w:tcPr>
          <w:p w14:paraId="461889E7" w14:textId="6E58058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66F2C59" w14:textId="19424E1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5.0</w:t>
            </w:r>
          </w:p>
        </w:tc>
        <w:tc>
          <w:tcPr>
            <w:tcW w:w="737" w:type="dxa"/>
            <w:vAlign w:val="center"/>
          </w:tcPr>
          <w:p w14:paraId="62052C78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B41</w:t>
            </w:r>
          </w:p>
        </w:tc>
        <w:tc>
          <w:tcPr>
            <w:tcW w:w="1077" w:type="dxa"/>
            <w:vAlign w:val="center"/>
          </w:tcPr>
          <w:p w14:paraId="7B87E523" w14:textId="30B9F64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39.8</w:t>
            </w:r>
          </w:p>
        </w:tc>
        <w:tc>
          <w:tcPr>
            <w:tcW w:w="1191" w:type="dxa"/>
            <w:vAlign w:val="center"/>
          </w:tcPr>
          <w:p w14:paraId="276E5EFC" w14:textId="1C2586D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03EB958" w14:textId="48D4F84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191" w:type="dxa"/>
            <w:vAlign w:val="center"/>
          </w:tcPr>
          <w:p w14:paraId="11594FF8" w14:textId="41700B4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8.0</w:t>
            </w:r>
          </w:p>
        </w:tc>
      </w:tr>
      <w:tr w:rsidR="006B05A7" w:rsidRPr="00ED016E" w14:paraId="13A63674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64B3695C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1DDEC13" w14:textId="2CB2040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55.0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9B68632" w14:textId="28B9557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191" w:type="dxa"/>
            <w:vAlign w:val="center"/>
          </w:tcPr>
          <w:p w14:paraId="7A46F837" w14:textId="43333AF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0FAD3DD6" w14:textId="4E9447D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2.8</w:t>
            </w:r>
          </w:p>
        </w:tc>
        <w:tc>
          <w:tcPr>
            <w:tcW w:w="737" w:type="dxa"/>
            <w:vAlign w:val="center"/>
          </w:tcPr>
          <w:p w14:paraId="0429E4EE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1077" w:type="dxa"/>
            <w:vAlign w:val="center"/>
          </w:tcPr>
          <w:p w14:paraId="56403C0D" w14:textId="6D5AE31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38.5</w:t>
            </w:r>
          </w:p>
        </w:tc>
        <w:tc>
          <w:tcPr>
            <w:tcW w:w="1191" w:type="dxa"/>
            <w:vAlign w:val="center"/>
          </w:tcPr>
          <w:p w14:paraId="794CA466" w14:textId="5001A1E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0C4BC98E" w14:textId="25B8E76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91" w:type="dxa"/>
            <w:vAlign w:val="center"/>
          </w:tcPr>
          <w:p w14:paraId="528000A9" w14:textId="0CE6603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8.0</w:t>
            </w:r>
          </w:p>
        </w:tc>
      </w:tr>
      <w:tr w:rsidR="006B05A7" w:rsidRPr="00ED016E" w14:paraId="4333E30C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6A83B88F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A4C3D89" w14:textId="08BF375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9E186B7" w14:textId="76B9AFC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1BF9DB12" w14:textId="452DC33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B560B0B" w14:textId="1AAE920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4.3</w:t>
            </w:r>
          </w:p>
        </w:tc>
        <w:tc>
          <w:tcPr>
            <w:tcW w:w="737" w:type="dxa"/>
            <w:vAlign w:val="center"/>
          </w:tcPr>
          <w:p w14:paraId="0EF2861B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B43</w:t>
            </w:r>
          </w:p>
        </w:tc>
        <w:tc>
          <w:tcPr>
            <w:tcW w:w="1077" w:type="dxa"/>
            <w:vAlign w:val="center"/>
          </w:tcPr>
          <w:p w14:paraId="090F7CE0" w14:textId="589E8E7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32.5</w:t>
            </w:r>
          </w:p>
        </w:tc>
        <w:tc>
          <w:tcPr>
            <w:tcW w:w="1191" w:type="dxa"/>
            <w:vAlign w:val="center"/>
          </w:tcPr>
          <w:p w14:paraId="3236404B" w14:textId="40F7634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64D4972" w14:textId="4A036F8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3E079034" w14:textId="49AFA67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1.8</w:t>
            </w:r>
          </w:p>
        </w:tc>
      </w:tr>
      <w:tr w:rsidR="006B05A7" w:rsidRPr="00ED016E" w14:paraId="619F6C93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389A1A21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AE92481" w14:textId="48ED837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D2A2B67" w14:textId="0221FF6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45CFCD48" w14:textId="4434F3A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0032C34" w14:textId="0CA30F4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4.5</w:t>
            </w:r>
          </w:p>
        </w:tc>
        <w:tc>
          <w:tcPr>
            <w:tcW w:w="737" w:type="dxa"/>
            <w:vAlign w:val="center"/>
          </w:tcPr>
          <w:p w14:paraId="24C3BA0F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B44</w:t>
            </w:r>
          </w:p>
        </w:tc>
        <w:tc>
          <w:tcPr>
            <w:tcW w:w="1077" w:type="dxa"/>
            <w:vAlign w:val="center"/>
          </w:tcPr>
          <w:p w14:paraId="03C58BE6" w14:textId="010FF0D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4C949DBE" w14:textId="25B210F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7C745BC9" w14:textId="779A6F2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16F21F17" w14:textId="5E958B9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4.0</w:t>
            </w:r>
          </w:p>
        </w:tc>
      </w:tr>
      <w:tr w:rsidR="006B05A7" w:rsidRPr="00ED016E" w14:paraId="65B87B67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3C153E96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60ECBA6" w14:textId="3090FD1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0A759E6" w14:textId="5907AE2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F30A80B" w14:textId="0F6774A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48AB7F85" w14:textId="22A0B49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5.5</w:t>
            </w:r>
          </w:p>
        </w:tc>
        <w:tc>
          <w:tcPr>
            <w:tcW w:w="737" w:type="dxa"/>
            <w:vAlign w:val="center"/>
          </w:tcPr>
          <w:p w14:paraId="7647DCC4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B45</w:t>
            </w:r>
          </w:p>
        </w:tc>
        <w:tc>
          <w:tcPr>
            <w:tcW w:w="1077" w:type="dxa"/>
            <w:vAlign w:val="center"/>
          </w:tcPr>
          <w:p w14:paraId="3DED4809" w14:textId="6578B9C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63.8</w:t>
            </w:r>
          </w:p>
        </w:tc>
        <w:tc>
          <w:tcPr>
            <w:tcW w:w="1191" w:type="dxa"/>
            <w:vAlign w:val="center"/>
          </w:tcPr>
          <w:p w14:paraId="52F14C6C" w14:textId="19B0CC2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1" w:type="dxa"/>
            <w:vAlign w:val="center"/>
          </w:tcPr>
          <w:p w14:paraId="0E0DAC32" w14:textId="236432B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191" w:type="dxa"/>
            <w:vAlign w:val="center"/>
          </w:tcPr>
          <w:p w14:paraId="3D93AF4A" w14:textId="6F1BF8A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3.8</w:t>
            </w:r>
          </w:p>
        </w:tc>
      </w:tr>
      <w:tr w:rsidR="006B05A7" w:rsidRPr="00ED016E" w14:paraId="497CA962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7163103B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072A445" w14:textId="76B0E96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9148FDB" w14:textId="4C19408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34DFA585" w14:textId="2008682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02DD9FE9" w14:textId="561F7BA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5.5</w:t>
            </w:r>
          </w:p>
        </w:tc>
        <w:tc>
          <w:tcPr>
            <w:tcW w:w="737" w:type="dxa"/>
            <w:vAlign w:val="center"/>
          </w:tcPr>
          <w:p w14:paraId="0B4C50C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B46</w:t>
            </w:r>
          </w:p>
        </w:tc>
        <w:tc>
          <w:tcPr>
            <w:tcW w:w="1077" w:type="dxa"/>
            <w:vAlign w:val="center"/>
          </w:tcPr>
          <w:p w14:paraId="09C41022" w14:textId="3339FE7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41AB9C0B" w14:textId="365EF70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F8E2950" w14:textId="6D54C9A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91" w:type="dxa"/>
            <w:vAlign w:val="center"/>
          </w:tcPr>
          <w:p w14:paraId="3BD3DAC6" w14:textId="6A4AE21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4.5</w:t>
            </w:r>
          </w:p>
        </w:tc>
      </w:tr>
      <w:tr w:rsidR="006B05A7" w:rsidRPr="00ED016E" w14:paraId="2E8A7510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4E7AEB11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C98DC8A" w14:textId="4BFB0B5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F519384" w14:textId="0E3BB6C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279512AF" w14:textId="475232B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1CFA946D" w14:textId="15ADD48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2.8</w:t>
            </w:r>
          </w:p>
        </w:tc>
        <w:tc>
          <w:tcPr>
            <w:tcW w:w="737" w:type="dxa"/>
            <w:vAlign w:val="center"/>
          </w:tcPr>
          <w:p w14:paraId="541CCCB3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B47</w:t>
            </w:r>
          </w:p>
        </w:tc>
        <w:tc>
          <w:tcPr>
            <w:tcW w:w="1077" w:type="dxa"/>
            <w:vAlign w:val="center"/>
          </w:tcPr>
          <w:p w14:paraId="6FE5C438" w14:textId="6874CD6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50.0</w:t>
            </w:r>
          </w:p>
        </w:tc>
        <w:tc>
          <w:tcPr>
            <w:tcW w:w="1191" w:type="dxa"/>
            <w:vAlign w:val="center"/>
          </w:tcPr>
          <w:p w14:paraId="5CA58656" w14:textId="486F316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91" w:type="dxa"/>
            <w:vAlign w:val="center"/>
          </w:tcPr>
          <w:p w14:paraId="551F83F5" w14:textId="09A5472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5162B5E" w14:textId="3DCE820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1.0</w:t>
            </w:r>
          </w:p>
        </w:tc>
      </w:tr>
      <w:tr w:rsidR="006B05A7" w:rsidRPr="00ED016E" w14:paraId="7DE87708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10B9BE55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0C77C59" w14:textId="51293C6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48.5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FFA4862" w14:textId="2AE4648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7FB7C093" w14:textId="6834B1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4763B399" w14:textId="4EC45BF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3.5</w:t>
            </w:r>
          </w:p>
        </w:tc>
        <w:tc>
          <w:tcPr>
            <w:tcW w:w="737" w:type="dxa"/>
            <w:vAlign w:val="center"/>
          </w:tcPr>
          <w:p w14:paraId="56EDD982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B48</w:t>
            </w:r>
          </w:p>
        </w:tc>
        <w:tc>
          <w:tcPr>
            <w:tcW w:w="1077" w:type="dxa"/>
            <w:vAlign w:val="center"/>
          </w:tcPr>
          <w:p w14:paraId="7DBE43C3" w14:textId="150CC9D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61.3</w:t>
            </w:r>
          </w:p>
        </w:tc>
        <w:tc>
          <w:tcPr>
            <w:tcW w:w="1191" w:type="dxa"/>
            <w:vAlign w:val="center"/>
          </w:tcPr>
          <w:p w14:paraId="073A937E" w14:textId="44E81FD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D3901CB" w14:textId="72B34DD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3F06AB5A" w14:textId="69D0C99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2.0</w:t>
            </w:r>
          </w:p>
        </w:tc>
      </w:tr>
      <w:tr w:rsidR="006B05A7" w:rsidRPr="00ED016E" w14:paraId="1B5EF263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5A2B57DB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BD64067" w14:textId="02AF360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31.3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5719312" w14:textId="33EE5D3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1" w:type="dxa"/>
            <w:vAlign w:val="center"/>
          </w:tcPr>
          <w:p w14:paraId="212409B5" w14:textId="1D1F94B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7E953B71" w14:textId="7CB1FB4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2.0</w:t>
            </w:r>
          </w:p>
        </w:tc>
        <w:tc>
          <w:tcPr>
            <w:tcW w:w="737" w:type="dxa"/>
            <w:vAlign w:val="center"/>
          </w:tcPr>
          <w:p w14:paraId="3E166453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B49</w:t>
            </w:r>
          </w:p>
        </w:tc>
        <w:tc>
          <w:tcPr>
            <w:tcW w:w="1077" w:type="dxa"/>
            <w:vAlign w:val="center"/>
          </w:tcPr>
          <w:p w14:paraId="7C138ACE" w14:textId="3434959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14C10C0E" w14:textId="5B397A2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191" w:type="dxa"/>
            <w:vAlign w:val="center"/>
          </w:tcPr>
          <w:p w14:paraId="4CF83B71" w14:textId="4F6A906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A0D4D64" w14:textId="05AB44F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2.5</w:t>
            </w:r>
          </w:p>
        </w:tc>
      </w:tr>
      <w:tr w:rsidR="006B05A7" w:rsidRPr="00ED016E" w14:paraId="43EBE80D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24857983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F935D40" w14:textId="068BDF4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68.8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36D1EBE" w14:textId="0F97C65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91" w:type="dxa"/>
            <w:vAlign w:val="center"/>
          </w:tcPr>
          <w:p w14:paraId="4C41253B" w14:textId="59B68AA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7A3E29D6" w14:textId="71DBB81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2.3</w:t>
            </w:r>
          </w:p>
        </w:tc>
        <w:tc>
          <w:tcPr>
            <w:tcW w:w="737" w:type="dxa"/>
            <w:vAlign w:val="center"/>
          </w:tcPr>
          <w:p w14:paraId="3DD7FC0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B50</w:t>
            </w:r>
          </w:p>
        </w:tc>
        <w:tc>
          <w:tcPr>
            <w:tcW w:w="1077" w:type="dxa"/>
            <w:vAlign w:val="center"/>
          </w:tcPr>
          <w:p w14:paraId="21ECEADE" w14:textId="3318947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45.0</w:t>
            </w:r>
          </w:p>
        </w:tc>
        <w:tc>
          <w:tcPr>
            <w:tcW w:w="1191" w:type="dxa"/>
            <w:vAlign w:val="center"/>
          </w:tcPr>
          <w:p w14:paraId="18FB1B52" w14:textId="1237E1D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91" w:type="dxa"/>
            <w:vAlign w:val="center"/>
          </w:tcPr>
          <w:p w14:paraId="7453D601" w14:textId="4267EF8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4F45CD90" w14:textId="1DFC90B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5.5</w:t>
            </w:r>
          </w:p>
        </w:tc>
      </w:tr>
      <w:tr w:rsidR="006B05A7" w:rsidRPr="00ED016E" w14:paraId="638AEDBF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4C32134A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81ACC2F" w14:textId="5D6C4DA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21.3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717F9CB" w14:textId="5891271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91" w:type="dxa"/>
            <w:vAlign w:val="center"/>
          </w:tcPr>
          <w:p w14:paraId="6DD6CEF7" w14:textId="0CEF830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64CEBB0F" w14:textId="39D1561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2.0</w:t>
            </w:r>
          </w:p>
        </w:tc>
        <w:tc>
          <w:tcPr>
            <w:tcW w:w="737" w:type="dxa"/>
            <w:vAlign w:val="center"/>
          </w:tcPr>
          <w:p w14:paraId="69EB2CD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77" w:type="dxa"/>
            <w:vAlign w:val="center"/>
          </w:tcPr>
          <w:p w14:paraId="7E249171" w14:textId="03F51E2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53.8</w:t>
            </w:r>
          </w:p>
        </w:tc>
        <w:tc>
          <w:tcPr>
            <w:tcW w:w="1191" w:type="dxa"/>
            <w:vAlign w:val="center"/>
          </w:tcPr>
          <w:p w14:paraId="5BEC8B9E" w14:textId="222AC62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191" w:type="dxa"/>
            <w:vAlign w:val="center"/>
          </w:tcPr>
          <w:p w14:paraId="1CB51813" w14:textId="40E8D43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A69450D" w14:textId="7686F81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3.3</w:t>
            </w:r>
          </w:p>
        </w:tc>
      </w:tr>
      <w:tr w:rsidR="006B05A7" w:rsidRPr="00ED016E" w14:paraId="38DF9FF1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63CF930C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D492B52" w14:textId="22C42BE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56.3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B0FBB35" w14:textId="331D66A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191" w:type="dxa"/>
            <w:vAlign w:val="center"/>
          </w:tcPr>
          <w:p w14:paraId="558DD8F6" w14:textId="6D64CFD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DC9472F" w14:textId="6CD36C7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3.8</w:t>
            </w:r>
          </w:p>
        </w:tc>
        <w:tc>
          <w:tcPr>
            <w:tcW w:w="737" w:type="dxa"/>
            <w:vAlign w:val="center"/>
          </w:tcPr>
          <w:p w14:paraId="6DBCAC8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77" w:type="dxa"/>
            <w:vAlign w:val="center"/>
          </w:tcPr>
          <w:p w14:paraId="7A341B7F" w14:textId="0C69E40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3C0FD099" w14:textId="5F32868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45C241FE" w14:textId="655C82E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486A80E5" w14:textId="7F5F34C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3.5</w:t>
            </w:r>
          </w:p>
        </w:tc>
      </w:tr>
      <w:tr w:rsidR="006B05A7" w:rsidRPr="00ED016E" w14:paraId="5AA48659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7607B6B7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0F98657" w14:textId="4DE9324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FA374D3" w14:textId="0C2DCBE0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5CC5857D" w14:textId="2EBEFEA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09EE727" w14:textId="5680001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2.0</w:t>
            </w:r>
          </w:p>
        </w:tc>
        <w:tc>
          <w:tcPr>
            <w:tcW w:w="737" w:type="dxa"/>
            <w:vAlign w:val="center"/>
          </w:tcPr>
          <w:p w14:paraId="0B167560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77" w:type="dxa"/>
            <w:vAlign w:val="center"/>
          </w:tcPr>
          <w:p w14:paraId="77A18BCF" w14:textId="65D97A7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0B7D7D49" w14:textId="281A8BA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83C2160" w14:textId="06BDA41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91" w:type="dxa"/>
            <w:vAlign w:val="center"/>
          </w:tcPr>
          <w:p w14:paraId="65D94121" w14:textId="022B07E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10.5</w:t>
            </w:r>
          </w:p>
        </w:tc>
      </w:tr>
      <w:tr w:rsidR="006B05A7" w:rsidRPr="00ED016E" w14:paraId="3AA51E9C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74C2EBBB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4DA583F" w14:textId="269866D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77857B4" w14:textId="3A4E16F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5EC9871B" w14:textId="638E8A0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91" w:type="dxa"/>
            <w:vAlign w:val="center"/>
          </w:tcPr>
          <w:p w14:paraId="7450F43E" w14:textId="0B5B28F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737" w:type="dxa"/>
            <w:vAlign w:val="center"/>
          </w:tcPr>
          <w:p w14:paraId="60B6DBC4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77" w:type="dxa"/>
            <w:vAlign w:val="center"/>
          </w:tcPr>
          <w:p w14:paraId="6219E81C" w14:textId="4ECF7AD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16EA6852" w14:textId="2EB00925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39B0C5B7" w14:textId="7F6177B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4D9DD299" w14:textId="14B9268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4.8</w:t>
            </w:r>
          </w:p>
        </w:tc>
      </w:tr>
      <w:tr w:rsidR="006B05A7" w:rsidRPr="00ED016E" w14:paraId="46B9AC81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6B941724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B48C36E" w14:textId="30979E4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17E1679" w14:textId="53631C0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7D30ECAE" w14:textId="38703AE8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8F4CF69" w14:textId="7B0CA61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6.3</w:t>
            </w:r>
          </w:p>
        </w:tc>
        <w:tc>
          <w:tcPr>
            <w:tcW w:w="737" w:type="dxa"/>
            <w:vAlign w:val="center"/>
          </w:tcPr>
          <w:p w14:paraId="42C5E741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77" w:type="dxa"/>
            <w:vAlign w:val="center"/>
          </w:tcPr>
          <w:p w14:paraId="3D4588F9" w14:textId="394E635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191" w:type="dxa"/>
            <w:vAlign w:val="center"/>
          </w:tcPr>
          <w:p w14:paraId="2FA48290" w14:textId="0472C94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55319A70" w14:textId="7CE6667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AFEA981" w14:textId="5F003D6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4.5</w:t>
            </w:r>
          </w:p>
        </w:tc>
      </w:tr>
      <w:tr w:rsidR="006B05A7" w:rsidRPr="00ED016E" w14:paraId="762FDB14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5C1BA767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BF212C1" w14:textId="59F9AB2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21.8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0C64504" w14:textId="424285A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51526831" w14:textId="7360477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174136A" w14:textId="39FADDD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5.0</w:t>
            </w:r>
          </w:p>
        </w:tc>
        <w:tc>
          <w:tcPr>
            <w:tcW w:w="737" w:type="dxa"/>
            <w:vAlign w:val="center"/>
          </w:tcPr>
          <w:p w14:paraId="3D19B93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B56</w:t>
            </w:r>
          </w:p>
        </w:tc>
        <w:tc>
          <w:tcPr>
            <w:tcW w:w="1077" w:type="dxa"/>
            <w:vAlign w:val="center"/>
          </w:tcPr>
          <w:p w14:paraId="1EE3B93E" w14:textId="5645D12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21464AD4" w14:textId="16F36E26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0B16F8C" w14:textId="7A60D33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5211211B" w14:textId="2E9FE6D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15.5</w:t>
            </w:r>
          </w:p>
        </w:tc>
      </w:tr>
      <w:tr w:rsidR="006B05A7" w:rsidRPr="00ED016E" w14:paraId="5FF1BE84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24F4790A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1D44854" w14:textId="59E6399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59.8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7E7943C" w14:textId="71ED4A8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91" w:type="dxa"/>
            <w:vAlign w:val="center"/>
          </w:tcPr>
          <w:p w14:paraId="6A2E93D7" w14:textId="232DFEE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17EA9B57" w14:textId="2A870DF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5.5</w:t>
            </w:r>
          </w:p>
        </w:tc>
        <w:tc>
          <w:tcPr>
            <w:tcW w:w="737" w:type="dxa"/>
            <w:vAlign w:val="center"/>
          </w:tcPr>
          <w:p w14:paraId="1E56123A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B57</w:t>
            </w:r>
          </w:p>
        </w:tc>
        <w:tc>
          <w:tcPr>
            <w:tcW w:w="1077" w:type="dxa"/>
            <w:vAlign w:val="center"/>
          </w:tcPr>
          <w:p w14:paraId="670608B2" w14:textId="164429F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91" w:type="dxa"/>
            <w:vAlign w:val="center"/>
          </w:tcPr>
          <w:p w14:paraId="6D887565" w14:textId="73B5D36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70C90A4" w14:textId="5A6720A9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28159B40" w14:textId="202069A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12.5</w:t>
            </w:r>
          </w:p>
        </w:tc>
      </w:tr>
      <w:tr w:rsidR="006B05A7" w:rsidRPr="00ED016E" w14:paraId="51C94037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5826A6BE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DD7AA3A" w14:textId="78194BF2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5AA5FCB" w14:textId="362DAB8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6429B7B9" w14:textId="4CE526AC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2F7A3144" w14:textId="1AB1F9A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12.5</w:t>
            </w:r>
          </w:p>
        </w:tc>
        <w:tc>
          <w:tcPr>
            <w:tcW w:w="737" w:type="dxa"/>
            <w:vAlign w:val="center"/>
          </w:tcPr>
          <w:p w14:paraId="7DC0B73F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B58</w:t>
            </w:r>
          </w:p>
        </w:tc>
        <w:tc>
          <w:tcPr>
            <w:tcW w:w="1077" w:type="dxa"/>
            <w:vAlign w:val="center"/>
          </w:tcPr>
          <w:p w14:paraId="6542D8E8" w14:textId="1EC9D86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50882135" w14:textId="62EE632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116EE1CC" w14:textId="4366624B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65D90608" w14:textId="230C0C4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13.5</w:t>
            </w:r>
          </w:p>
        </w:tc>
      </w:tr>
      <w:tr w:rsidR="006B05A7" w:rsidRPr="00ED016E" w14:paraId="2BCAFD0F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30B1599E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EC7E1DC" w14:textId="5D536C4F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5307821" w14:textId="11551AB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5F7D8791" w14:textId="2F31DE3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91" w:type="dxa"/>
            <w:vAlign w:val="center"/>
          </w:tcPr>
          <w:p w14:paraId="6DC6AFFF" w14:textId="03D130D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6.3</w:t>
            </w:r>
          </w:p>
        </w:tc>
        <w:tc>
          <w:tcPr>
            <w:tcW w:w="737" w:type="dxa"/>
            <w:vAlign w:val="center"/>
          </w:tcPr>
          <w:p w14:paraId="7A5AC02C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B59</w:t>
            </w:r>
          </w:p>
        </w:tc>
        <w:tc>
          <w:tcPr>
            <w:tcW w:w="1077" w:type="dxa"/>
            <w:vAlign w:val="center"/>
          </w:tcPr>
          <w:p w14:paraId="068B3F9D" w14:textId="40B5170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91" w:type="dxa"/>
            <w:vAlign w:val="center"/>
          </w:tcPr>
          <w:p w14:paraId="2714259B" w14:textId="3BF43DC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4AF36E4B" w14:textId="21D3B24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77DB1BEB" w14:textId="7A73CAB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16.5</w:t>
            </w:r>
          </w:p>
        </w:tc>
      </w:tr>
      <w:tr w:rsidR="006B05A7" w:rsidRPr="00ED016E" w14:paraId="4731684E" w14:textId="77777777" w:rsidTr="006B05A7">
        <w:trPr>
          <w:cantSplit/>
          <w:trHeight w:val="20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14:paraId="255AF780" w14:textId="77777777" w:rsidR="006B05A7" w:rsidRPr="00ED016E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DD5B52E" w14:textId="4E90F0D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A946AB7" w14:textId="6C6BCE93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91" w:type="dxa"/>
            <w:vAlign w:val="center"/>
          </w:tcPr>
          <w:p w14:paraId="2ACEF9D9" w14:textId="11AB4B9E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6153CDFA" w14:textId="274BB404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6.5</w:t>
            </w:r>
          </w:p>
        </w:tc>
        <w:tc>
          <w:tcPr>
            <w:tcW w:w="737" w:type="dxa"/>
            <w:vAlign w:val="center"/>
          </w:tcPr>
          <w:p w14:paraId="6711C8FC" w14:textId="7777777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B60</w:t>
            </w:r>
          </w:p>
        </w:tc>
        <w:tc>
          <w:tcPr>
            <w:tcW w:w="1077" w:type="dxa"/>
            <w:vAlign w:val="center"/>
          </w:tcPr>
          <w:p w14:paraId="30584B3B" w14:textId="760B44D1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55.0</w:t>
            </w:r>
          </w:p>
        </w:tc>
        <w:tc>
          <w:tcPr>
            <w:tcW w:w="1191" w:type="dxa"/>
            <w:vAlign w:val="center"/>
          </w:tcPr>
          <w:p w14:paraId="464AEE8D" w14:textId="468CDDF7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191" w:type="dxa"/>
            <w:vAlign w:val="center"/>
          </w:tcPr>
          <w:p w14:paraId="43AE6213" w14:textId="294966CA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91" w:type="dxa"/>
            <w:vAlign w:val="center"/>
          </w:tcPr>
          <w:p w14:paraId="13F55E5A" w14:textId="157F52ED" w:rsidR="006B05A7" w:rsidRPr="00ED016E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01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8.0</w:t>
            </w:r>
          </w:p>
        </w:tc>
      </w:tr>
    </w:tbl>
    <w:p w14:paraId="7081E8E2" w14:textId="41F31019" w:rsidR="00432839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sz w:val="24"/>
          <w:szCs w:val="24"/>
          <w:lang w:val="en-US"/>
        </w:rPr>
        <w:t>Values in red indicate possibly resistant access</w:t>
      </w:r>
      <w:r w:rsidR="00630882" w:rsidRPr="00D33F5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7F41CB" w:rsidRPr="00D33F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8491EE" w14:textId="77777777" w:rsidR="006B05A7" w:rsidRPr="00D33F52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259AF4" w14:textId="77777777" w:rsidR="006B05A7" w:rsidRDefault="006B05A7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9911CA" w14:textId="77777777" w:rsidR="00ED016E" w:rsidRDefault="00ED016E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BE653E" w14:textId="77777777" w:rsidR="00ED016E" w:rsidRDefault="00ED016E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509EB9" w14:textId="77777777" w:rsidR="00ED016E" w:rsidRDefault="00ED016E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D50FEE" w14:textId="77777777" w:rsidR="00ED016E" w:rsidRPr="00D33F52" w:rsidRDefault="00ED016E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2180B6" w14:textId="57E69ADE" w:rsidR="00432839" w:rsidRPr="00D33F52" w:rsidRDefault="00432839" w:rsidP="00A73B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2</w:t>
      </w:r>
      <w:r w:rsidR="00ED01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>Fleabane control at 24 hours after application (HAA) and 28 days after application (DAA) of herbicides 2,4-D, triclopyr, and dicamba. MS and PR Brazil, 2020-2021</w:t>
      </w:r>
      <w:r w:rsidR="00A66924" w:rsidRPr="00D33F52">
        <w:rPr>
          <w:rFonts w:ascii="Times New Roman" w:hAnsi="Times New Roman" w:cs="Times New Roman"/>
          <w:sz w:val="24"/>
          <w:szCs w:val="24"/>
          <w:lang w:val="en-US"/>
        </w:rPr>
        <w:t xml:space="preserve"> growing season</w:t>
      </w:r>
    </w:p>
    <w:tbl>
      <w:tblPr>
        <w:tblW w:w="10064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20"/>
        <w:gridCol w:w="719"/>
        <w:gridCol w:w="718"/>
        <w:gridCol w:w="719"/>
        <w:gridCol w:w="719"/>
        <w:gridCol w:w="719"/>
        <w:gridCol w:w="718"/>
        <w:gridCol w:w="719"/>
        <w:gridCol w:w="719"/>
        <w:gridCol w:w="718"/>
        <w:gridCol w:w="719"/>
        <w:gridCol w:w="719"/>
        <w:gridCol w:w="719"/>
      </w:tblGrid>
      <w:tr w:rsidR="006B05A7" w:rsidRPr="006B05A7" w14:paraId="18177C04" w14:textId="77777777" w:rsidTr="0093005E">
        <w:trPr>
          <w:cantSplit/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2EB1B6F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8635E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2,4-D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8D229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Triclopyr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32D8A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Dicamba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B4EB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74E2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2,4-D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ECDAB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Triclopyr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F13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Dicamba</w:t>
            </w:r>
          </w:p>
        </w:tc>
      </w:tr>
      <w:tr w:rsidR="006B05A7" w:rsidRPr="006B05A7" w14:paraId="75282F8E" w14:textId="77777777" w:rsidTr="0093005E">
        <w:trPr>
          <w:cantSplit/>
          <w:trHeight w:val="20"/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D6A89" w14:textId="6E7F3CFB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CF5BE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24 HAA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C4A0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28 DAA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87E5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24 HAA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75EB7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28 DAA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97C81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24 HAA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A3B86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28 DAA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7BA5" w14:textId="2253643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1513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24 HAA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5338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28 DAA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C5299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24 HAA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9ADD2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28 DAA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E1CE5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24 HAA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73B3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28 DAA</w:t>
            </w:r>
          </w:p>
        </w:tc>
      </w:tr>
      <w:tr w:rsidR="006B05A7" w:rsidRPr="006B05A7" w14:paraId="38DF2F34" w14:textId="77777777" w:rsidTr="0093005E">
        <w:trPr>
          <w:cantSplit/>
          <w:trHeight w:val="20"/>
          <w:jc w:val="center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B554B9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1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7FF3AE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43612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1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B44E7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%</w:t>
            </w:r>
          </w:p>
        </w:tc>
      </w:tr>
      <w:tr w:rsidR="006B05A7" w:rsidRPr="006B05A7" w14:paraId="3D4DA4B8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522BD33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C1292B" w14:textId="1081B3A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D550FB8" w14:textId="3CFEF2E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348C90F" w14:textId="1091C11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A5600CD" w14:textId="20038A6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069B173" w14:textId="35A3F86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C93309" w14:textId="3F838FA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EB7CB31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BFB06D1" w14:textId="2060B0C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8416EF8" w14:textId="6FF1339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4B016D" w14:textId="6F8E2E4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5828A91" w14:textId="4C5B67A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C0A9998" w14:textId="4554D2E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DB3298B" w14:textId="328FA6A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5E124A30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6B4FDE9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7DB008" w14:textId="0F1B2EC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8D6FB53" w14:textId="7C0BB77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A745F85" w14:textId="20D17AE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D8125EB" w14:textId="67D94A3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E986F7A" w14:textId="579AFDA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F9839F" w14:textId="194D024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73B3E9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6DDA3F7" w14:textId="380EFA0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FE8048A" w14:textId="6B62D6D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302D264" w14:textId="7C8306B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E4DF8E8" w14:textId="46054E3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052A70F" w14:textId="56E6FDC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DDFCEEE" w14:textId="64184B9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242CA43A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EB50972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385DD8" w14:textId="1173DF2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74CBA9" w14:textId="4E558D5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6B5E1F8" w14:textId="1332084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AAAD430" w14:textId="78B6D96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69B2143" w14:textId="3562878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857C96C" w14:textId="5B8F179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AD73C61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E3430BB" w14:textId="03A1E92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55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33E2119" w14:textId="76B85C3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188612D" w14:textId="1C338E7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804AB74" w14:textId="536452B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6326325" w14:textId="0FD094F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612394A" w14:textId="0E7083E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26F9AA8C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FA4FE77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C2FA50" w14:textId="7C4D556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E09BC28" w14:textId="760DA7E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684365B" w14:textId="0B11A8C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260339" w14:textId="71EB2B2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2566417" w14:textId="3AC171D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74AC403" w14:textId="62978C7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A4E7204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E78F5DF" w14:textId="63B0654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7D2D92" w14:textId="7CBC099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A4A37C4" w14:textId="37040F3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C4A529D" w14:textId="66C435C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A5026E8" w14:textId="543AA77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FF14BE7" w14:textId="1235894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221EF41A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310773A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BAD904" w14:textId="61D4769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0244C56" w14:textId="7BA910F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B916FF0" w14:textId="70B5082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58004DB" w14:textId="31C23E7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B472805" w14:textId="5A95816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3D6EEDB" w14:textId="4359D0A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7961363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3728FE9" w14:textId="1E27BC6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D07BA69" w14:textId="65477D5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C86FCAD" w14:textId="50BFF4E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984AF7" w14:textId="22AA2E6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A80E8ED" w14:textId="4A50512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E74CE66" w14:textId="73FF8AA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</w:tr>
      <w:tr w:rsidR="006B05A7" w:rsidRPr="006B05A7" w14:paraId="7BEEE894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8874325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2790AD" w14:textId="497FC8C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0E5F319" w14:textId="1CB5DF3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0ABCD0A" w14:textId="21C5EE0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9E5D2FE" w14:textId="41B2CB4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0DC5CBA" w14:textId="1C25754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0DE081E" w14:textId="142F33B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0EA1162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A9B611" w14:textId="2671D79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FBA7F5E" w14:textId="6A44A09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0B52724" w14:textId="3F09FE8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0AB82CC" w14:textId="432A038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EC5831B" w14:textId="4484E17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A438916" w14:textId="43C1385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65D0F371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5D82EF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74C664" w14:textId="6A056FF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FEBD3AE" w14:textId="60FDCC4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5247CAC" w14:textId="2451704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3CFB0BF" w14:textId="02C5232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1BC5632" w14:textId="74E44C4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1438898" w14:textId="5D39B1A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6DBED30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E27063C" w14:textId="0AE0719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A26E8D4" w14:textId="4171928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1BED19E" w14:textId="12699F5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07C45E5" w14:textId="30EE5FC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A9239D3" w14:textId="6C8CEA8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6C1045A" w14:textId="3DCC319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08F9A3AE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C1834E8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B26F9C" w14:textId="04CD864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370B0E1" w14:textId="57E40E3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53E6F38" w14:textId="562B952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73D9C1F" w14:textId="5452794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9B36DD" w14:textId="604E735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A94A1D0" w14:textId="25E0ED9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3108732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C1F72D1" w14:textId="63C6BD1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D8473C0" w14:textId="7CB0B18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D594C97" w14:textId="28C90F7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5DC0D67" w14:textId="22C412E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5FB0C60" w14:textId="1B4FC12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B167E57" w14:textId="76BE87F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2E1C5920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C08F60B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B09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D3E7CD" w14:textId="6B7A166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34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2707B37" w14:textId="1233500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033BB5C" w14:textId="36A0A9A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BA76BBF" w14:textId="3B74AEF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0DD687D" w14:textId="3205573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8FE4D11" w14:textId="180F91F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EDF4DD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B39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7BAABBD" w14:textId="009F671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49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F5B620D" w14:textId="6E0E0E7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FCD783E" w14:textId="57F430C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88AD578" w14:textId="4E11398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12C0248" w14:textId="4084A46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0606C02" w14:textId="1EB8961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</w:tr>
      <w:tr w:rsidR="006B05A7" w:rsidRPr="006B05A7" w14:paraId="56A978B3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093F6A5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69DF80" w14:textId="34DDDFA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58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3AFF6E2" w14:textId="3780E19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09F1D96" w14:textId="0002A3A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33EC309" w14:textId="5281A49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9CCE4F1" w14:textId="3143C96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477E5FD" w14:textId="3310D2E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6BEFF17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84CE9A6" w14:textId="63E4EB3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AC6C69" w14:textId="75B5775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6C7A93A" w14:textId="63AD1D8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4B3C893" w14:textId="6F327AE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0227336" w14:textId="04A8188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4AAC737" w14:textId="27AD68E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01E90996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E883E46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C9D5B4" w14:textId="4D48786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55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9181ECD" w14:textId="61F5C18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D627219" w14:textId="161AFEA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4BFD179" w14:textId="0D2BE7F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DD3BEC4" w14:textId="74C23A6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F4A1455" w14:textId="0CC7607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7FAE462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F1865D5" w14:textId="731FDF4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6077B3D" w14:textId="533CABC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80FAB59" w14:textId="3159781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C2D6D85" w14:textId="3A820C3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5CF4847" w14:textId="724C8C2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C14B824" w14:textId="541FAFC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</w:tr>
      <w:tr w:rsidR="006B05A7" w:rsidRPr="006B05A7" w14:paraId="1AF1B230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4215E10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2269D9" w14:textId="2AF5054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48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643991A" w14:textId="1F0F950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A554A3F" w14:textId="2BE8B9F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50E1785" w14:textId="28B482F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8A931D8" w14:textId="069775F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DE9EDEE" w14:textId="42E0154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259A1B9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39DFD03" w14:textId="144C9B3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53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F004EE1" w14:textId="22A4007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9DEF212" w14:textId="6D35012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F95855" w14:textId="324E73B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0BE8CC6" w14:textId="282850C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92B3DE1" w14:textId="5284F1C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</w:tr>
      <w:tr w:rsidR="006B05A7" w:rsidRPr="006B05A7" w14:paraId="7B2D413A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54D9FEC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FCFB52" w14:textId="29A3456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48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D4269C7" w14:textId="65E6A4F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7E0F432" w14:textId="13E0797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C051A94" w14:textId="274BB5E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AD94F59" w14:textId="6FE29A0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DC5C9EC" w14:textId="3163B2A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7E02C3D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0E0145" w14:textId="328EF85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A537721" w14:textId="0667022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F0DF645" w14:textId="3EFEE93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5AD8145" w14:textId="29B069D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C45037E" w14:textId="2519700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EA3C0EE" w14:textId="0568A45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7A4B2CFB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22C34F3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F810E3" w14:textId="29290E6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BACC0A8" w14:textId="600F3FA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D67F853" w14:textId="3E06FB5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8AE5568" w14:textId="51BDD41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30F34AD" w14:textId="3C4CBF9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6485AD" w14:textId="4FB374C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068F37F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5522B14" w14:textId="033EAA2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C4B4CE0" w14:textId="064B667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FD0E01A" w14:textId="5144721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B321E29" w14:textId="6784C8C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CBBE721" w14:textId="023850D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F9ECDD5" w14:textId="5502BE6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5C0693B7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10999C3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5C9BFD" w14:textId="55438BA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3D9240E" w14:textId="06CD619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C49238C" w14:textId="2D621E2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CE59271" w14:textId="439A603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2FD823" w14:textId="45A4A7C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C837D73" w14:textId="37F1529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B706A3C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2A86840" w14:textId="1D22392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1B41AAC" w14:textId="7511D04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56FED88" w14:textId="17A3D31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1F86B53" w14:textId="421899C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23A35BB" w14:textId="79D4777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E2C13F5" w14:textId="4DADDF6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261F95FB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5DBB09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DCFCCB" w14:textId="3B2A808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1DADE3F" w14:textId="1423033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48D034F" w14:textId="51B5A3F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0C4C12B" w14:textId="3238410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73375CD" w14:textId="7CDD176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C3AF184" w14:textId="1C90048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C50500F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01C3A13" w14:textId="2813237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5ECB0A9" w14:textId="0E83D09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442215B" w14:textId="1D6C776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806715C" w14:textId="3883BAC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A378CF8" w14:textId="25F01BC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027E8EC" w14:textId="7403F4F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3784F909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4C97568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A9EB99" w14:textId="16E45EC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49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4C03E1A" w14:textId="294C243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E1B260A" w14:textId="031FFB4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28F291E" w14:textId="67DA1F1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9295BC9" w14:textId="0E64CEB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2B2F979" w14:textId="7A5B44E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7196D6D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587B99A" w14:textId="532032F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51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2E81BF8" w14:textId="4AC39F7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D85B676" w14:textId="4F7E4BB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DB59DA5" w14:textId="18D8A28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B6D8614" w14:textId="45E97C4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3BD7D84" w14:textId="2972A64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4255BDCB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529E12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86DD2D" w14:textId="10CCA32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44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7DFC983" w14:textId="1BBC471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F427FFB" w14:textId="0730F50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5348E68" w14:textId="2EA7605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C481DE5" w14:textId="460DB69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5AFCC88" w14:textId="348286F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4465E4A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A9C1167" w14:textId="7C141A0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0547210" w14:textId="292C6F0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2A89AE5" w14:textId="4D33FFA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4AF6D2" w14:textId="32B27F9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BEB8F89" w14:textId="37BB757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6EE62EB" w14:textId="5C61785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68FB296A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E5EE837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FF6D28" w14:textId="6C1881E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70B7604" w14:textId="3C8F480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DBB532A" w14:textId="7FC4DA9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67258AF" w14:textId="0F28240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BC11706" w14:textId="5B435C6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99D3F23" w14:textId="411BFAA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08BE23A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B49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72B3F8" w14:textId="766F3EC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53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86F1652" w14:textId="4902CAF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8B830EA" w14:textId="7702680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D3954C8" w14:textId="422DAA9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B7632FA" w14:textId="287B5C9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08E951C" w14:textId="13C98F2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155D5B63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670A3F9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4F407B" w14:textId="53FDAA3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39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D696AED" w14:textId="3C942BF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037E170" w14:textId="49764E1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AD04946" w14:textId="7453484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397D620" w14:textId="275A712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2FE5F57" w14:textId="350EFAB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39C8504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6A7C052" w14:textId="46B1334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53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C89E9C5" w14:textId="3FD566E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DA1E8E" w14:textId="2DEF6E9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7D30E52" w14:textId="109C7AA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6D92660" w14:textId="492B7EB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3A1E866" w14:textId="76E8119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</w:tr>
      <w:tr w:rsidR="006B05A7" w:rsidRPr="006B05A7" w14:paraId="3D961CEF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9879FA2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03EC4F" w14:textId="435B179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23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88D6019" w14:textId="76C3765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2AC9147" w14:textId="573F295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14DFD61" w14:textId="5B3185F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7FE28A3" w14:textId="4204838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C69CA1C" w14:textId="6DE4A83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17B71CB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7C96431" w14:textId="639E5FB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41597C5" w14:textId="19EA953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B6C56F4" w14:textId="6DFEA5D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650A82D" w14:textId="3A6B401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F50C8E0" w14:textId="1419AE0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936FD09" w14:textId="0E2B15F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4233CA9E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2E0CE6C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5BD7A8" w14:textId="55355BE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F6D1A60" w14:textId="5E24B10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799C69E" w14:textId="670B5D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656B0B" w14:textId="35E02CE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AC8886B" w14:textId="042F4E2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A2661C9" w14:textId="3076BD2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D8251F6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B8EFA18" w14:textId="071A6F2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49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71D5F9C" w14:textId="134D814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CE9A4EF" w14:textId="0F3E7FE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A6946AF" w14:textId="7BEE416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3C96399" w14:textId="49A3032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FFE84A6" w14:textId="771FE88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1C48BD31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7F0E1F8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19C760" w14:textId="3802F23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45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B029760" w14:textId="50AE259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D760E20" w14:textId="2F863D6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508A9B4" w14:textId="7BD1A8F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63548D" w14:textId="412AC4E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5AF9039" w14:textId="5E122DF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B3C9CDE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F5AD966" w14:textId="543DAB5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38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B52F559" w14:textId="1100661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89B2242" w14:textId="3C6A344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27E3064" w14:textId="22F41DE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E13542E" w14:textId="353C93B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691391C" w14:textId="04546F2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20966D69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D8EC85C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A936CE" w14:textId="1F461C3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BA85E51" w14:textId="715B044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5372F55" w14:textId="0C946A2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11F848F" w14:textId="5F63B97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12D09AA" w14:textId="7911358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7D87C94" w14:textId="5D4202E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72FF320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58EDB0B" w14:textId="5BA127B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4761103" w14:textId="1197DB4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07755AB" w14:textId="29042A7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D1E2FBA" w14:textId="02C8C70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A19CBAA" w14:textId="56CEF90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AA6EB1B" w14:textId="52C7113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</w:tr>
      <w:tr w:rsidR="006B05A7" w:rsidRPr="006B05A7" w14:paraId="56B80A84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5F01FA0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FA05BB" w14:textId="6137645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45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DBAB126" w14:textId="4C47EA3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E2ACCF5" w14:textId="3F2EF6C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B0597CB" w14:textId="48CA3D0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09CF07B" w14:textId="0605942C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FC27F31" w14:textId="12E7F38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39652D7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8F4EC5A" w14:textId="53DDB8E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43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71C286B" w14:textId="5CA2ED3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E473DAE" w14:textId="1A369BD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E160783" w14:textId="224E517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E2B1B7C" w14:textId="0EB697A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6CA374B" w14:textId="70F0201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</w:tr>
      <w:tr w:rsidR="006B05A7" w:rsidRPr="006B05A7" w14:paraId="29426DDE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D7854B9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573731" w14:textId="36337E0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52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8ED218C" w14:textId="3EE0EC8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C2CF464" w14:textId="67F3643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3A875F9" w14:textId="780BAF9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0C29C8A" w14:textId="1476581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4FC0DC3" w14:textId="5050954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4A8AB16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5B83C23" w14:textId="12F52B3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48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7E8000E" w14:textId="668691B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A56DDF2" w14:textId="6766823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18D63FB" w14:textId="50FA0D6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8417092" w14:textId="1DE94BC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1886974" w14:textId="7AFBDC2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  <w:tr w:rsidR="006B05A7" w:rsidRPr="006B05A7" w14:paraId="1BE60BF5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47DB89C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202625" w14:textId="6D08055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44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A641B73" w14:textId="7E42573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D7E0BF5" w14:textId="1E1FD41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79D6F2E" w14:textId="348EB1D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DBEDB87" w14:textId="6944C6D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DF89D23" w14:textId="599E83E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5B1326A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E7D929" w14:textId="039A802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E82CCC3" w14:textId="07FBCFC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AF650FF" w14:textId="56984AE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68E1FBA" w14:textId="1735293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563FB49" w14:textId="3E06762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7ABFBC1" w14:textId="2463E10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</w:tr>
      <w:tr w:rsidR="006B05A7" w:rsidRPr="006B05A7" w14:paraId="4AF88E83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3657EC2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BCC0A0" w14:textId="19C6DF4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38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F36A666" w14:textId="36DF726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E9A5C96" w14:textId="172E279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2DED5E9" w14:textId="7C110A2F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C1294F" w14:textId="5F4E485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25A7120" w14:textId="176A899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2B29FA9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A3D15E" w14:textId="1A0BE69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55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CA3B4C1" w14:textId="33BF599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F5A2408" w14:textId="6241A52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0253187" w14:textId="7FDE8EC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DE9F42A" w14:textId="531E322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348CD4A" w14:textId="2311300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</w:tr>
      <w:tr w:rsidR="006B05A7" w:rsidRPr="006B05A7" w14:paraId="7E49315D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C801088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06FC30" w14:textId="1A968BD4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F057B8D" w14:textId="4FF1B70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061C050" w14:textId="4FD135C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11BB312" w14:textId="6298EAB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EB1BD0A" w14:textId="5DCF9FD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3ADFA15" w14:textId="24618F40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45FBC1E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B59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7C07F20" w14:textId="0CFEDC7E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ED9B940" w14:textId="26CC9F12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A4C928" w14:textId="63875C98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C5D595" w14:textId="7D83774B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59F64A2" w14:textId="6EBD54B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EE47AD5" w14:textId="6F529A0D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</w:tr>
      <w:tr w:rsidR="006B05A7" w:rsidRPr="006B05A7" w14:paraId="605B27F9" w14:textId="77777777" w:rsidTr="0093005E">
        <w:trPr>
          <w:cantSplit/>
          <w:trHeight w:val="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8F7C3E1" w14:textId="77777777" w:rsidR="006B05A7" w:rsidRPr="006B05A7" w:rsidRDefault="006B05A7" w:rsidP="00ED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227BC3" w14:textId="6FB2B9E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42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9F2A655" w14:textId="144D6D2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CE3D116" w14:textId="7E85332A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AD91A67" w14:textId="0645A439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5D699FD" w14:textId="4E47E9A6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4DE5E11" w14:textId="74D28C2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1CBA63E" w14:textId="777777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pt-BR"/>
                <w14:ligatures w14:val="none"/>
              </w:rPr>
              <w:t>B60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CB559EF" w14:textId="4490DC7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56</w:t>
            </w:r>
            <w:r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448159E" w14:textId="7051E7F5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C72288A" w14:textId="5C19949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289FD52" w14:textId="5D377987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2C7D556" w14:textId="4D893831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74FED9B" w14:textId="694339D3" w:rsidR="006B05A7" w:rsidRPr="006B05A7" w:rsidRDefault="006B05A7" w:rsidP="00E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.</w:t>
            </w:r>
            <w:r w:rsidRPr="006B0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t-BR"/>
                <w14:ligatures w14:val="none"/>
              </w:rPr>
              <w:t>3</w:t>
            </w:r>
          </w:p>
        </w:tc>
      </w:tr>
    </w:tbl>
    <w:p w14:paraId="3EBA884F" w14:textId="5CFD3A00" w:rsidR="00432839" w:rsidRPr="00D33F52" w:rsidRDefault="00432839" w:rsidP="00A73B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52">
        <w:rPr>
          <w:rFonts w:ascii="Times New Roman" w:hAnsi="Times New Roman" w:cs="Times New Roman"/>
          <w:sz w:val="24"/>
          <w:szCs w:val="24"/>
          <w:lang w:val="en-US"/>
        </w:rPr>
        <w:t>Values in red indicate the characterization of rapid necrosis for the herbicide 2</w:t>
      </w:r>
      <w:r w:rsidR="006B05A7" w:rsidRPr="00D33F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33F52">
        <w:rPr>
          <w:rFonts w:ascii="Times New Roman" w:hAnsi="Times New Roman" w:cs="Times New Roman"/>
          <w:sz w:val="24"/>
          <w:szCs w:val="24"/>
          <w:lang w:val="en-US"/>
        </w:rPr>
        <w:t>4-D.</w:t>
      </w:r>
    </w:p>
    <w:sectPr w:rsidR="00432839" w:rsidRPr="00D33F52" w:rsidSect="00A75874">
      <w:head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49EF8" w14:textId="77777777" w:rsidR="00A75874" w:rsidRDefault="00A75874" w:rsidP="005E1F15">
      <w:pPr>
        <w:spacing w:after="0" w:line="240" w:lineRule="auto"/>
      </w:pPr>
      <w:r>
        <w:separator/>
      </w:r>
    </w:p>
  </w:endnote>
  <w:endnote w:type="continuationSeparator" w:id="0">
    <w:p w14:paraId="3ED1E062" w14:textId="77777777" w:rsidR="00A75874" w:rsidRDefault="00A75874" w:rsidP="005E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17E7F" w14:textId="77777777" w:rsidR="00A75874" w:rsidRDefault="00A75874" w:rsidP="005E1F15">
      <w:pPr>
        <w:spacing w:after="0" w:line="240" w:lineRule="auto"/>
      </w:pPr>
      <w:r>
        <w:separator/>
      </w:r>
    </w:p>
  </w:footnote>
  <w:footnote w:type="continuationSeparator" w:id="0">
    <w:p w14:paraId="784CD677" w14:textId="77777777" w:rsidR="00A75874" w:rsidRDefault="00A75874" w:rsidP="005E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0979593"/>
      <w:docPartObj>
        <w:docPartGallery w:val="Page Numbers (Top of Page)"/>
        <w:docPartUnique/>
      </w:docPartObj>
    </w:sdtPr>
    <w:sdtContent>
      <w:p w14:paraId="7AD5433A" w14:textId="1534F6C0" w:rsidR="005E1F15" w:rsidRDefault="005E1F1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8B5B7" w14:textId="77777777" w:rsidR="005E1F15" w:rsidRDefault="005E1F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22765"/>
    <w:multiLevelType w:val="hybridMultilevel"/>
    <w:tmpl w:val="567EA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5C"/>
    <w:rsid w:val="00004460"/>
    <w:rsid w:val="00006D03"/>
    <w:rsid w:val="000106AF"/>
    <w:rsid w:val="00014E98"/>
    <w:rsid w:val="00024067"/>
    <w:rsid w:val="00031345"/>
    <w:rsid w:val="00032F2E"/>
    <w:rsid w:val="00035F57"/>
    <w:rsid w:val="00050D40"/>
    <w:rsid w:val="00070F63"/>
    <w:rsid w:val="0007771C"/>
    <w:rsid w:val="00086062"/>
    <w:rsid w:val="0009307E"/>
    <w:rsid w:val="0009527D"/>
    <w:rsid w:val="000A28A4"/>
    <w:rsid w:val="000A2C9B"/>
    <w:rsid w:val="000E1CE8"/>
    <w:rsid w:val="000F7247"/>
    <w:rsid w:val="00116637"/>
    <w:rsid w:val="0013473B"/>
    <w:rsid w:val="0014459B"/>
    <w:rsid w:val="0015057F"/>
    <w:rsid w:val="0015275C"/>
    <w:rsid w:val="0015520B"/>
    <w:rsid w:val="0015772F"/>
    <w:rsid w:val="00160A82"/>
    <w:rsid w:val="001B438D"/>
    <w:rsid w:val="001C316D"/>
    <w:rsid w:val="001D3A16"/>
    <w:rsid w:val="001D3D28"/>
    <w:rsid w:val="001E50D2"/>
    <w:rsid w:val="001F7BF7"/>
    <w:rsid w:val="00206466"/>
    <w:rsid w:val="00214F1D"/>
    <w:rsid w:val="00223BB2"/>
    <w:rsid w:val="00224455"/>
    <w:rsid w:val="00243F31"/>
    <w:rsid w:val="0027664D"/>
    <w:rsid w:val="0027745C"/>
    <w:rsid w:val="00277E98"/>
    <w:rsid w:val="0028295D"/>
    <w:rsid w:val="002834D4"/>
    <w:rsid w:val="002854D8"/>
    <w:rsid w:val="00293689"/>
    <w:rsid w:val="002A0616"/>
    <w:rsid w:val="002A22BB"/>
    <w:rsid w:val="002D5EDA"/>
    <w:rsid w:val="002F1CF8"/>
    <w:rsid w:val="00312809"/>
    <w:rsid w:val="00332F3F"/>
    <w:rsid w:val="00377E17"/>
    <w:rsid w:val="0039088B"/>
    <w:rsid w:val="00395AF7"/>
    <w:rsid w:val="003A5545"/>
    <w:rsid w:val="003A7AAD"/>
    <w:rsid w:val="003B749D"/>
    <w:rsid w:val="003C375F"/>
    <w:rsid w:val="003E69C2"/>
    <w:rsid w:val="003F6E8B"/>
    <w:rsid w:val="0040766E"/>
    <w:rsid w:val="00407BFD"/>
    <w:rsid w:val="00417302"/>
    <w:rsid w:val="00417B1E"/>
    <w:rsid w:val="0042667B"/>
    <w:rsid w:val="00427961"/>
    <w:rsid w:val="00432839"/>
    <w:rsid w:val="00461050"/>
    <w:rsid w:val="00465E9F"/>
    <w:rsid w:val="00475FB5"/>
    <w:rsid w:val="0048736B"/>
    <w:rsid w:val="004A0111"/>
    <w:rsid w:val="004B319F"/>
    <w:rsid w:val="004C1F9F"/>
    <w:rsid w:val="004D68DF"/>
    <w:rsid w:val="004E36B4"/>
    <w:rsid w:val="00510089"/>
    <w:rsid w:val="00514316"/>
    <w:rsid w:val="00547CF7"/>
    <w:rsid w:val="005577ED"/>
    <w:rsid w:val="005A7068"/>
    <w:rsid w:val="005D0E34"/>
    <w:rsid w:val="005E1800"/>
    <w:rsid w:val="005E1F15"/>
    <w:rsid w:val="005E2A2C"/>
    <w:rsid w:val="005F2833"/>
    <w:rsid w:val="00617A9C"/>
    <w:rsid w:val="00620915"/>
    <w:rsid w:val="00630882"/>
    <w:rsid w:val="006312E8"/>
    <w:rsid w:val="00633E02"/>
    <w:rsid w:val="00637FCF"/>
    <w:rsid w:val="00640DD8"/>
    <w:rsid w:val="00643E0F"/>
    <w:rsid w:val="00652DB4"/>
    <w:rsid w:val="00667851"/>
    <w:rsid w:val="006A63AD"/>
    <w:rsid w:val="006B05A7"/>
    <w:rsid w:val="006B2BF5"/>
    <w:rsid w:val="006C2664"/>
    <w:rsid w:val="006E2624"/>
    <w:rsid w:val="006F091D"/>
    <w:rsid w:val="00714747"/>
    <w:rsid w:val="00715180"/>
    <w:rsid w:val="00725B39"/>
    <w:rsid w:val="007278AA"/>
    <w:rsid w:val="0074017E"/>
    <w:rsid w:val="00741679"/>
    <w:rsid w:val="007425B1"/>
    <w:rsid w:val="00751632"/>
    <w:rsid w:val="00780BB6"/>
    <w:rsid w:val="00781B80"/>
    <w:rsid w:val="00786E8B"/>
    <w:rsid w:val="007A1996"/>
    <w:rsid w:val="007A477A"/>
    <w:rsid w:val="007B1543"/>
    <w:rsid w:val="007C3CB8"/>
    <w:rsid w:val="007C6754"/>
    <w:rsid w:val="007C6F41"/>
    <w:rsid w:val="007D21A3"/>
    <w:rsid w:val="007D5D32"/>
    <w:rsid w:val="007E64ED"/>
    <w:rsid w:val="007F41CB"/>
    <w:rsid w:val="007F653A"/>
    <w:rsid w:val="0080038E"/>
    <w:rsid w:val="00804071"/>
    <w:rsid w:val="00824EA6"/>
    <w:rsid w:val="00845319"/>
    <w:rsid w:val="00846A51"/>
    <w:rsid w:val="0087146C"/>
    <w:rsid w:val="008728FD"/>
    <w:rsid w:val="00896D88"/>
    <w:rsid w:val="008A72BA"/>
    <w:rsid w:val="008B056D"/>
    <w:rsid w:val="008C04F3"/>
    <w:rsid w:val="008E3E92"/>
    <w:rsid w:val="008E56DD"/>
    <w:rsid w:val="00901930"/>
    <w:rsid w:val="00912B70"/>
    <w:rsid w:val="00921F53"/>
    <w:rsid w:val="0092716A"/>
    <w:rsid w:val="00931430"/>
    <w:rsid w:val="0093319B"/>
    <w:rsid w:val="009475CA"/>
    <w:rsid w:val="00947B4D"/>
    <w:rsid w:val="0096002A"/>
    <w:rsid w:val="00961D30"/>
    <w:rsid w:val="00963E53"/>
    <w:rsid w:val="009678A4"/>
    <w:rsid w:val="00971665"/>
    <w:rsid w:val="00976561"/>
    <w:rsid w:val="009769C1"/>
    <w:rsid w:val="00981572"/>
    <w:rsid w:val="00981C2E"/>
    <w:rsid w:val="009966A0"/>
    <w:rsid w:val="009A6610"/>
    <w:rsid w:val="009B5B75"/>
    <w:rsid w:val="009B6837"/>
    <w:rsid w:val="009B6970"/>
    <w:rsid w:val="009C5710"/>
    <w:rsid w:val="009D2EF0"/>
    <w:rsid w:val="009E290A"/>
    <w:rsid w:val="009E5D2D"/>
    <w:rsid w:val="009E738B"/>
    <w:rsid w:val="009F2C02"/>
    <w:rsid w:val="00A15B14"/>
    <w:rsid w:val="00A26BFC"/>
    <w:rsid w:val="00A27BB7"/>
    <w:rsid w:val="00A3066D"/>
    <w:rsid w:val="00A32165"/>
    <w:rsid w:val="00A37907"/>
    <w:rsid w:val="00A57A96"/>
    <w:rsid w:val="00A66924"/>
    <w:rsid w:val="00A676E2"/>
    <w:rsid w:val="00A72347"/>
    <w:rsid w:val="00A73BD7"/>
    <w:rsid w:val="00A75874"/>
    <w:rsid w:val="00A76A8C"/>
    <w:rsid w:val="00A80A35"/>
    <w:rsid w:val="00AB7ACD"/>
    <w:rsid w:val="00AD15C8"/>
    <w:rsid w:val="00AE13CB"/>
    <w:rsid w:val="00AE3ABC"/>
    <w:rsid w:val="00B21C78"/>
    <w:rsid w:val="00B41284"/>
    <w:rsid w:val="00B537B0"/>
    <w:rsid w:val="00B541DC"/>
    <w:rsid w:val="00B54BF3"/>
    <w:rsid w:val="00B5609A"/>
    <w:rsid w:val="00B65986"/>
    <w:rsid w:val="00B82C98"/>
    <w:rsid w:val="00B90378"/>
    <w:rsid w:val="00B92AD9"/>
    <w:rsid w:val="00B964FA"/>
    <w:rsid w:val="00BA2B8D"/>
    <w:rsid w:val="00BB2349"/>
    <w:rsid w:val="00BB62CC"/>
    <w:rsid w:val="00BD30DA"/>
    <w:rsid w:val="00C53368"/>
    <w:rsid w:val="00C657A5"/>
    <w:rsid w:val="00C702C6"/>
    <w:rsid w:val="00CA1610"/>
    <w:rsid w:val="00CC2FF1"/>
    <w:rsid w:val="00CC6595"/>
    <w:rsid w:val="00CD4129"/>
    <w:rsid w:val="00CE4516"/>
    <w:rsid w:val="00CF57EB"/>
    <w:rsid w:val="00D33F52"/>
    <w:rsid w:val="00D4223D"/>
    <w:rsid w:val="00D42AA0"/>
    <w:rsid w:val="00D643F5"/>
    <w:rsid w:val="00D6520C"/>
    <w:rsid w:val="00D85A2B"/>
    <w:rsid w:val="00D92E13"/>
    <w:rsid w:val="00DA3914"/>
    <w:rsid w:val="00DA4DA7"/>
    <w:rsid w:val="00DA6396"/>
    <w:rsid w:val="00DD04C4"/>
    <w:rsid w:val="00DD1F9D"/>
    <w:rsid w:val="00DE20EB"/>
    <w:rsid w:val="00DE29FF"/>
    <w:rsid w:val="00DE4619"/>
    <w:rsid w:val="00DF0B3E"/>
    <w:rsid w:val="00E17E4B"/>
    <w:rsid w:val="00E269B3"/>
    <w:rsid w:val="00E31EE7"/>
    <w:rsid w:val="00E3302D"/>
    <w:rsid w:val="00E465EF"/>
    <w:rsid w:val="00E53216"/>
    <w:rsid w:val="00E53B1C"/>
    <w:rsid w:val="00E60DB3"/>
    <w:rsid w:val="00E63543"/>
    <w:rsid w:val="00E6541B"/>
    <w:rsid w:val="00E94E70"/>
    <w:rsid w:val="00EA3EE4"/>
    <w:rsid w:val="00EC09F9"/>
    <w:rsid w:val="00ED016E"/>
    <w:rsid w:val="00ED0AA3"/>
    <w:rsid w:val="00ED15CB"/>
    <w:rsid w:val="00ED32D9"/>
    <w:rsid w:val="00EE573B"/>
    <w:rsid w:val="00EF430C"/>
    <w:rsid w:val="00EF58AB"/>
    <w:rsid w:val="00F008E7"/>
    <w:rsid w:val="00F016E5"/>
    <w:rsid w:val="00F25DB9"/>
    <w:rsid w:val="00F27A2B"/>
    <w:rsid w:val="00F33B20"/>
    <w:rsid w:val="00F359FC"/>
    <w:rsid w:val="00F62AEE"/>
    <w:rsid w:val="00F6376A"/>
    <w:rsid w:val="00F655D1"/>
    <w:rsid w:val="00F75FE9"/>
    <w:rsid w:val="00F76951"/>
    <w:rsid w:val="00F83C05"/>
    <w:rsid w:val="00F85A62"/>
    <w:rsid w:val="00F955C0"/>
    <w:rsid w:val="00FA1E97"/>
    <w:rsid w:val="00FD46A1"/>
    <w:rsid w:val="00FE69A0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7E7"/>
  <w15:chartTrackingRefBased/>
  <w15:docId w15:val="{ADFF3812-B170-4EF7-8770-23B92A3D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27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7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27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27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7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27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27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27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27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7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27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27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275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75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275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275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275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275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527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52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27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527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527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5275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275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5275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27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275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5275C"/>
    <w:rPr>
      <w:b/>
      <w:bCs/>
      <w:smallCaps/>
      <w:color w:val="0F4761" w:themeColor="accent1" w:themeShade="BF"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B96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964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64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6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64F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53B1C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F85A62"/>
  </w:style>
  <w:style w:type="character" w:styleId="Hyperlink">
    <w:name w:val="Hyperlink"/>
    <w:basedOn w:val="Fontepargpadro"/>
    <w:uiPriority w:val="99"/>
    <w:unhideWhenUsed/>
    <w:rsid w:val="00F85A62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5A62"/>
    <w:rPr>
      <w:color w:val="605E5C"/>
      <w:shd w:val="clear" w:color="auto" w:fill="E1DFDD"/>
    </w:rPr>
  </w:style>
  <w:style w:type="character" w:customStyle="1" w:styleId="longtext">
    <w:name w:val="long_text"/>
    <w:basedOn w:val="Fontepargpadro"/>
    <w:rsid w:val="00DD1F9D"/>
  </w:style>
  <w:style w:type="paragraph" w:styleId="Cabealho">
    <w:name w:val="header"/>
    <w:basedOn w:val="Normal"/>
    <w:link w:val="CabealhoChar"/>
    <w:uiPriority w:val="99"/>
    <w:unhideWhenUsed/>
    <w:rsid w:val="005E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F15"/>
  </w:style>
  <w:style w:type="paragraph" w:styleId="Rodap">
    <w:name w:val="footer"/>
    <w:basedOn w:val="Normal"/>
    <w:link w:val="RodapChar"/>
    <w:uiPriority w:val="99"/>
    <w:unhideWhenUsed/>
    <w:rsid w:val="005E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0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727404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372809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70755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249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77887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132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5064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486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759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1686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2123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8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279594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96968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0158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5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52180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1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54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02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445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3442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2908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23</Pages>
  <Words>5213</Words>
  <Characters>28154</Characters>
  <Application>Microsoft Office Word</Application>
  <DocSecurity>0</DocSecurity>
  <Lines>234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germain</dc:creator>
  <cp:keywords/>
  <dc:description/>
  <cp:lastModifiedBy>André Felipe Moreira Silva</cp:lastModifiedBy>
  <cp:revision>93</cp:revision>
  <dcterms:created xsi:type="dcterms:W3CDTF">2024-03-11T20:51:00Z</dcterms:created>
  <dcterms:modified xsi:type="dcterms:W3CDTF">2024-04-24T13:02:00Z</dcterms:modified>
</cp:coreProperties>
</file>