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80" w:lineRule="auto"/>
        <w:ind w:firstLine="1200" w:firstLineChars="500"/>
        <w:jc w:val="left"/>
        <w:rPr>
          <w:rFonts w:ascii="Times New Roman" w:hAnsi="Times New Roman"/>
          <w:b/>
          <w:sz w:val="24"/>
          <w:szCs w:val="24"/>
        </w:rPr>
      </w:pPr>
      <w:bookmarkStart w:id="0" w:name="OLE_LINK5"/>
      <w:bookmarkStart w:id="1" w:name="OLE_LINK6"/>
      <w:r>
        <w:rPr>
          <w:rFonts w:ascii="Times New Roman" w:hAnsi="Times New Roman"/>
          <w:color w:val="000000"/>
          <w:kern w:val="0"/>
          <w:sz w:val="24"/>
          <w:szCs w:val="24"/>
          <w:lang w:bidi="ar"/>
        </w:rPr>
        <w:t xml:space="preserve">Running title: </w:t>
      </w:r>
      <w:r>
        <w:rPr>
          <w:rFonts w:hint="eastAsia" w:ascii="Times New Roman" w:hAnsi="Times New Roman"/>
          <w:color w:val="000000"/>
          <w:kern w:val="0"/>
          <w:sz w:val="24"/>
          <w:szCs w:val="24"/>
          <w:lang w:bidi="ar"/>
        </w:rPr>
        <w:t>E</w:t>
      </w:r>
      <w:r>
        <w:rPr>
          <w:rFonts w:ascii="Times New Roman" w:hAnsi="Times New Roman"/>
          <w:color w:val="000000"/>
          <w:kern w:val="0"/>
          <w:sz w:val="24"/>
          <w:szCs w:val="24"/>
          <w:lang w:bidi="ar"/>
        </w:rPr>
        <w:t>xplore plants adaptive strategies to environmental changes</w:t>
      </w:r>
    </w:p>
    <w:p>
      <w:pPr>
        <w:spacing w:line="480" w:lineRule="auto"/>
        <w:rPr>
          <w:rFonts w:ascii="Times New Roman" w:hAnsi="Times New Roman"/>
          <w:b/>
          <w:sz w:val="24"/>
          <w:szCs w:val="24"/>
        </w:rPr>
      </w:pPr>
      <w:r>
        <w:rPr>
          <w:rFonts w:ascii="Times New Roman" w:hAnsi="Times New Roman"/>
          <w:b/>
          <w:sz w:val="24"/>
          <w:szCs w:val="24"/>
        </w:rPr>
        <w:t xml:space="preserve">Variations in leaf stomatal and vein traits of </w:t>
      </w:r>
      <w:r>
        <w:rPr>
          <w:rFonts w:ascii="Times New Roman" w:hAnsi="Times New Roman"/>
          <w:b/>
          <w:i/>
          <w:sz w:val="24"/>
          <w:szCs w:val="24"/>
        </w:rPr>
        <w:t xml:space="preserve">Oxyria sinensis </w:t>
      </w:r>
      <w:r>
        <w:rPr>
          <w:rFonts w:ascii="Times New Roman" w:hAnsi="Times New Roman"/>
          <w:b/>
          <w:sz w:val="24"/>
          <w:szCs w:val="24"/>
        </w:rPr>
        <w:t>along an elevational gradient in the Hengduan Mountains</w:t>
      </w:r>
      <w:bookmarkStart w:id="31" w:name="_GoBack"/>
      <w:bookmarkEnd w:id="31"/>
    </w:p>
    <w:p>
      <w:pPr>
        <w:spacing w:before="156" w:beforeLines="50" w:after="156" w:afterLines="50" w:line="480" w:lineRule="auto"/>
        <w:jc w:val="left"/>
        <w:rPr>
          <w:rFonts w:ascii="Times New Roman" w:hAnsi="Times New Roman"/>
          <w:b/>
          <w:sz w:val="24"/>
          <w:szCs w:val="24"/>
        </w:rPr>
      </w:pPr>
      <w:r>
        <w:rPr>
          <w:rFonts w:ascii="Times New Roman" w:hAnsi="Times New Roman"/>
          <w:b/>
          <w:sz w:val="24"/>
          <w:szCs w:val="24"/>
        </w:rPr>
        <w:t>Zhen-Ya Liu</w:t>
      </w:r>
      <w:r>
        <w:rPr>
          <w:rFonts w:hint="eastAsia" w:ascii="Times New Roman" w:hAnsi="Times New Roman"/>
          <w:b/>
          <w:sz w:val="24"/>
          <w:szCs w:val="24"/>
          <w:vertAlign w:val="superscript"/>
        </w:rPr>
        <w:t>1</w:t>
      </w:r>
      <w:r>
        <w:rPr>
          <w:rFonts w:ascii="Times New Roman" w:hAnsi="Times New Roman"/>
          <w:b/>
          <w:sz w:val="24"/>
          <w:szCs w:val="24"/>
          <w:vertAlign w:val="superscript"/>
        </w:rPr>
        <w:t>,</w:t>
      </w:r>
      <w:r>
        <w:rPr>
          <w:rFonts w:hint="eastAsia" w:ascii="Times New Roman" w:hAnsi="Times New Roman"/>
          <w:b/>
          <w:sz w:val="24"/>
          <w:szCs w:val="24"/>
          <w:vertAlign w:val="superscript"/>
        </w:rPr>
        <w:t>2</w:t>
      </w:r>
      <w:r>
        <w:rPr>
          <w:rFonts w:ascii="Times New Roman" w:hAnsi="Times New Roman"/>
          <w:b/>
          <w:sz w:val="24"/>
          <w:szCs w:val="24"/>
        </w:rPr>
        <w:t xml:space="preserve">, </w:t>
      </w:r>
      <w:r>
        <w:rPr>
          <w:rFonts w:hint="eastAsia" w:ascii="Times New Roman" w:hAnsi="Times New Roman"/>
          <w:b/>
          <w:sz w:val="24"/>
          <w:szCs w:val="24"/>
        </w:rPr>
        <w:t>Derong Xiao</w:t>
      </w:r>
      <w:r>
        <w:rPr>
          <w:rFonts w:hint="eastAsia" w:ascii="Times New Roman" w:hAnsi="Times New Roman"/>
          <w:b/>
          <w:sz w:val="24"/>
          <w:szCs w:val="24"/>
          <w:vertAlign w:val="superscript"/>
        </w:rPr>
        <w:t>1</w:t>
      </w:r>
      <w:r>
        <w:rPr>
          <w:rFonts w:hint="eastAsia" w:ascii="Times New Roman" w:hAnsi="Times New Roman"/>
          <w:b/>
          <w:sz w:val="24"/>
          <w:szCs w:val="24"/>
        </w:rPr>
        <w:t>, Huijun Guo</w:t>
      </w:r>
      <w:r>
        <w:rPr>
          <w:rFonts w:hint="eastAsia" w:ascii="Times New Roman" w:hAnsi="Times New Roman"/>
          <w:b/>
          <w:sz w:val="24"/>
          <w:szCs w:val="24"/>
          <w:vertAlign w:val="superscript"/>
        </w:rPr>
        <w:t>1*</w:t>
      </w:r>
      <w:r>
        <w:rPr>
          <w:rFonts w:ascii="Times New Roman" w:hAnsi="Times New Roman"/>
          <w:b/>
          <w:sz w:val="24"/>
          <w:szCs w:val="24"/>
        </w:rPr>
        <w:t>,</w:t>
      </w:r>
      <w:r>
        <w:rPr>
          <w:rFonts w:hint="eastAsia" w:ascii="Times New Roman" w:hAnsi="Times New Roman"/>
          <w:b/>
          <w:sz w:val="24"/>
          <w:szCs w:val="24"/>
          <w:lang w:val="en-US" w:eastAsia="zh-CN"/>
        </w:rPr>
        <w:t xml:space="preserve"> </w:t>
      </w:r>
      <w:r>
        <w:rPr>
          <w:rFonts w:ascii="Times New Roman" w:hAnsi="Times New Roman"/>
          <w:b/>
          <w:sz w:val="24"/>
          <w:szCs w:val="24"/>
        </w:rPr>
        <w:t>Mei Sun</w:t>
      </w:r>
      <w:r>
        <w:rPr>
          <w:rFonts w:hint="eastAsia" w:ascii="Times New Roman" w:hAnsi="Times New Roman"/>
          <w:b/>
          <w:sz w:val="24"/>
          <w:szCs w:val="24"/>
          <w:vertAlign w:val="superscript"/>
        </w:rPr>
        <w:t>1,2*</w:t>
      </w:r>
    </w:p>
    <w:p>
      <w:pPr>
        <w:spacing w:line="480" w:lineRule="auto"/>
        <w:rPr>
          <w:rFonts w:ascii="Times New Roman" w:hAnsi="Times New Roman"/>
          <w:i/>
          <w:iCs/>
          <w:sz w:val="24"/>
          <w:szCs w:val="24"/>
          <w:lang w:val="fr-CA"/>
        </w:rPr>
      </w:pPr>
      <w:r>
        <w:rPr>
          <w:rFonts w:hint="eastAsia" w:ascii="Times New Roman" w:hAnsi="Times New Roman"/>
          <w:i/>
          <w:iCs/>
          <w:sz w:val="24"/>
          <w:szCs w:val="24"/>
          <w:vertAlign w:val="superscript"/>
        </w:rPr>
        <w:t>1</w:t>
      </w:r>
      <w:r>
        <w:rPr>
          <w:rFonts w:ascii="Times New Roman" w:hAnsi="Times New Roman"/>
          <w:i/>
          <w:iCs/>
          <w:sz w:val="24"/>
          <w:szCs w:val="24"/>
        </w:rPr>
        <w:t xml:space="preserve"> </w:t>
      </w:r>
      <w:r>
        <w:rPr>
          <w:rFonts w:ascii="Times New Roman" w:hAnsi="Times New Roman"/>
          <w:i/>
          <w:iCs/>
          <w:sz w:val="24"/>
          <w:szCs w:val="24"/>
          <w:lang w:val="fr-CA"/>
        </w:rPr>
        <w:t>College of Wetland, Southwest Forestry University, Kunming 650224, China;</w:t>
      </w:r>
    </w:p>
    <w:p>
      <w:pPr>
        <w:spacing w:line="480" w:lineRule="auto"/>
        <w:rPr>
          <w:rFonts w:ascii="Times New Roman" w:hAnsi="Times New Roman"/>
          <w:i/>
          <w:iCs/>
          <w:sz w:val="24"/>
          <w:szCs w:val="24"/>
          <w:lang w:val="fr-CA"/>
        </w:rPr>
      </w:pPr>
      <w:r>
        <w:rPr>
          <w:rFonts w:hint="eastAsia" w:ascii="Times New Roman" w:hAnsi="Times New Roman"/>
          <w:i/>
          <w:iCs/>
          <w:sz w:val="24"/>
          <w:szCs w:val="24"/>
          <w:vertAlign w:val="superscript"/>
        </w:rPr>
        <w:t>2</w:t>
      </w:r>
      <w:r>
        <w:rPr>
          <w:rFonts w:ascii="Times New Roman" w:hAnsi="Times New Roman"/>
          <w:i/>
          <w:iCs/>
          <w:sz w:val="24"/>
          <w:szCs w:val="24"/>
          <w:lang w:val="fr-CA"/>
        </w:rPr>
        <w:t xml:space="preserve"> Ecological Observatory Network of Dianchi in Yunnan Provience, Jinning 650600, China;</w:t>
      </w:r>
    </w:p>
    <w:p>
      <w:pPr>
        <w:spacing w:line="480" w:lineRule="auto"/>
        <w:rPr>
          <w:rFonts w:hint="default" w:ascii="Times New Roman" w:hAnsi="Times New Roman" w:eastAsia="微软雅黑"/>
          <w:sz w:val="24"/>
          <w:szCs w:val="24"/>
          <w:lang w:val="en-US" w:eastAsia="zh-CN"/>
        </w:rPr>
      </w:pPr>
      <w:r>
        <w:rPr>
          <w:rFonts w:ascii="Times New Roman" w:hAnsi="Times New Roman"/>
          <w:sz w:val="24"/>
          <w:szCs w:val="24"/>
          <w:vertAlign w:val="superscript"/>
          <w:lang w:val="fr-CA"/>
        </w:rPr>
        <w:t>*</w:t>
      </w:r>
      <w:r>
        <w:rPr>
          <w:rFonts w:ascii="Times New Roman" w:hAnsi="Times New Roman"/>
          <w:sz w:val="24"/>
          <w:szCs w:val="24"/>
          <w:lang w:val="fr-CA"/>
        </w:rPr>
        <w:t xml:space="preserve"> </w:t>
      </w:r>
      <w:r>
        <w:rPr>
          <w:rFonts w:ascii="Times New Roman" w:hAnsi="Times New Roman"/>
          <w:sz w:val="24"/>
          <w:szCs w:val="24"/>
        </w:rPr>
        <w:t>For correspondence</w:t>
      </w:r>
      <w:r>
        <w:rPr>
          <w:rFonts w:hint="eastAsia" w:ascii="Times New Roman" w:hAnsi="Times New Roman"/>
          <w:sz w:val="24"/>
          <w:szCs w:val="24"/>
        </w:rPr>
        <w:t>:</w:t>
      </w:r>
      <w:r>
        <w:rPr>
          <w:rFonts w:hint="eastAsia" w:ascii="Times New Roman" w:hAnsi="Times New Roman"/>
          <w:sz w:val="24"/>
          <w:szCs w:val="24"/>
          <w:lang w:val="en-US" w:eastAsia="zh-CN"/>
        </w:rPr>
        <w:t xml:space="preserve"> </w:t>
      </w:r>
      <w:r>
        <w:rPr>
          <w:rFonts w:hint="default" w:ascii="Times New Roman" w:hAnsi="Times New Roman" w:eastAsia="微软雅黑" w:cs="Times New Roman"/>
          <w:i w:val="0"/>
          <w:iCs w:val="0"/>
          <w:caps w:val="0"/>
          <w:color w:val="171A1D"/>
          <w:spacing w:val="0"/>
          <w:sz w:val="24"/>
          <w:szCs w:val="24"/>
          <w:shd w:val="clear" w:fill="FFFFFF"/>
        </w:rPr>
        <w:t>hjguo1@sina.com</w:t>
      </w:r>
      <w:r>
        <w:rPr>
          <w:rFonts w:hint="default" w:ascii="Times New Roman" w:hAnsi="Times New Roman" w:eastAsia="微软雅黑" w:cs="Times New Roman"/>
          <w:i w:val="0"/>
          <w:iCs w:val="0"/>
          <w:caps w:val="0"/>
          <w:color w:val="171A1D"/>
          <w:spacing w:val="0"/>
          <w:sz w:val="24"/>
          <w:szCs w:val="24"/>
          <w:shd w:val="clear" w:fill="FFFFFF"/>
          <w:lang w:val="en-US" w:eastAsia="zh-CN"/>
        </w:rPr>
        <w:t>;</w:t>
      </w:r>
      <w:r>
        <w:rPr>
          <w:rFonts w:hint="eastAsia" w:ascii="Times New Roman" w:hAnsi="Times New Roman" w:eastAsia="微软雅黑" w:cs="Times New Roman"/>
          <w:i w:val="0"/>
          <w:iCs w:val="0"/>
          <w:caps w:val="0"/>
          <w:color w:val="171A1D"/>
          <w:spacing w:val="0"/>
          <w:sz w:val="24"/>
          <w:szCs w:val="24"/>
          <w:shd w:val="clear" w:fill="FFFFFF"/>
          <w:lang w:val="en-US" w:eastAsia="zh-CN"/>
        </w:rPr>
        <w:t xml:space="preserve"> </w:t>
      </w:r>
      <w:r>
        <w:rPr>
          <w:rFonts w:hint="default" w:ascii="Times New Roman" w:hAnsi="Times New Roman" w:eastAsia="微软雅黑" w:cs="Times New Roman"/>
          <w:i w:val="0"/>
          <w:iCs w:val="0"/>
          <w:caps w:val="0"/>
          <w:color w:val="171A1D"/>
          <w:spacing w:val="0"/>
          <w:sz w:val="24"/>
          <w:szCs w:val="24"/>
          <w:shd w:val="clear" w:fill="FFFFFF"/>
          <w:lang w:val="en-US" w:eastAsia="zh-CN"/>
        </w:rPr>
        <w:t>sm0510215@163.com</w:t>
      </w:r>
    </w:p>
    <w:p>
      <w:pPr>
        <w:widowControl/>
        <w:spacing w:line="480" w:lineRule="auto"/>
        <w:jc w:val="left"/>
        <w:rPr>
          <w:rFonts w:ascii="Times New Roman" w:hAnsi="Times New Roman"/>
          <w:b/>
          <w:sz w:val="24"/>
          <w:szCs w:val="24"/>
        </w:rPr>
      </w:pPr>
      <w:r>
        <w:rPr>
          <w:rFonts w:ascii="Times New Roman" w:hAnsi="Times New Roman"/>
          <w:i/>
          <w:iCs/>
          <w:color w:val="000000"/>
          <w:kern w:val="0"/>
          <w:sz w:val="24"/>
          <w:szCs w:val="24"/>
          <w:lang w:bidi="ar"/>
        </w:rPr>
        <w:t xml:space="preserve">Received __________; Accepted ____________; Published _______________ </w:t>
      </w:r>
      <w:bookmarkEnd w:id="0"/>
      <w:bookmarkEnd w:id="1"/>
    </w:p>
    <w:p>
      <w:pPr>
        <w:keepNext w:val="0"/>
        <w:keepLines w:val="0"/>
        <w:widowControl/>
        <w:suppressLineNumbers w:val="0"/>
        <w:jc w:val="left"/>
        <w:rPr>
          <w:rFonts w:hint="default" w:ascii="Times New Roman" w:hAnsi="Times New Roman" w:eastAsia="宋体" w:cs="Times New Roman"/>
          <w:b/>
          <w:bCs/>
          <w:color w:val="000000"/>
          <w:kern w:val="0"/>
          <w:sz w:val="24"/>
          <w:szCs w:val="24"/>
          <w:lang w:val="en-US" w:eastAsia="zh-CN" w:bidi="ar"/>
        </w:rPr>
      </w:pPr>
    </w:p>
    <w:p>
      <w:pPr>
        <w:keepNext w:val="0"/>
        <w:keepLines w:val="0"/>
        <w:widowControl/>
        <w:suppressLineNumbers w:val="0"/>
        <w:jc w:val="left"/>
        <w:rPr>
          <w:sz w:val="24"/>
          <w:szCs w:val="24"/>
        </w:rPr>
      </w:pPr>
      <w:r>
        <w:rPr>
          <w:rFonts w:hint="default" w:ascii="Times New Roman" w:hAnsi="Times New Roman" w:eastAsia="宋体" w:cs="Times New Roman"/>
          <w:b/>
          <w:bCs/>
          <w:color w:val="000000"/>
          <w:kern w:val="0"/>
          <w:sz w:val="24"/>
          <w:szCs w:val="24"/>
          <w:lang w:val="en-US" w:eastAsia="zh-CN" w:bidi="ar"/>
        </w:rPr>
        <w:t xml:space="preserve">Novelty statement </w:t>
      </w:r>
    </w:p>
    <w:p>
      <w:pPr>
        <w:widowControl/>
        <w:spacing w:before="156" w:beforeLines="50" w:after="156" w:afterLines="50" w:line="480" w:lineRule="auto"/>
        <w:ind w:firstLine="480" w:firstLineChars="200"/>
        <w:rPr>
          <w:rFonts w:ascii="Times New Roman" w:hAnsi="Times New Roman"/>
          <w:b/>
          <w:sz w:val="24"/>
          <w:szCs w:val="24"/>
        </w:rPr>
      </w:pPr>
      <w:r>
        <w:rPr>
          <w:rFonts w:ascii="Times New Roman" w:hAnsi="Times New Roman"/>
          <w:sz w:val="24"/>
          <w:szCs w:val="24"/>
        </w:rPr>
        <w:t xml:space="preserve">The Hengduan Mountains </w:t>
      </w:r>
      <w:r>
        <w:rPr>
          <w:rFonts w:hint="eastAsia" w:ascii="Times New Roman" w:hAnsi="Times New Roman"/>
          <w:sz w:val="24"/>
          <w:szCs w:val="24"/>
          <w:lang w:val="en-US" w:eastAsia="zh-CN"/>
        </w:rPr>
        <w:t>is</w:t>
      </w:r>
      <w:r>
        <w:rPr>
          <w:rFonts w:ascii="Times New Roman" w:hAnsi="Times New Roman"/>
          <w:sz w:val="24"/>
          <w:szCs w:val="24"/>
        </w:rPr>
        <w:t xml:space="preserve"> an ideal study site to investigate the response of plants to environmental changes because of its large elevational gradient and sensitivity to climate change. </w:t>
      </w:r>
      <w:r>
        <w:rPr>
          <w:rFonts w:ascii="Times New Roman" w:hAnsi="Times New Roman"/>
          <w:i/>
          <w:iCs/>
          <w:sz w:val="24"/>
          <w:szCs w:val="24"/>
        </w:rPr>
        <w:t>Oxyria sinensis</w:t>
      </w:r>
      <w:r>
        <w:rPr>
          <w:rFonts w:ascii="Times New Roman" w:hAnsi="Times New Roman"/>
          <w:sz w:val="24"/>
          <w:szCs w:val="24"/>
        </w:rPr>
        <w:t xml:space="preserve"> is a typical herbaceous species that is commonly found on mountains from 1,600 m to 3,800 m above sea level in this region. </w:t>
      </w:r>
      <w:r>
        <w:rPr>
          <w:rFonts w:ascii="Times New Roman" w:hAnsi="Times New Roman"/>
          <w:i/>
          <w:iCs/>
          <w:sz w:val="24"/>
          <w:szCs w:val="24"/>
        </w:rPr>
        <w:t>Oxyria sinensis</w:t>
      </w:r>
      <w:r>
        <w:rPr>
          <w:rFonts w:ascii="Times New Roman" w:hAnsi="Times New Roman"/>
          <w:sz w:val="24"/>
          <w:szCs w:val="24"/>
        </w:rPr>
        <w:t xml:space="preserve"> shows a strong ecological adaptability, thus it can be used as a model for exploring plant adaptation to environments. </w:t>
      </w:r>
      <w:r>
        <w:rPr>
          <w:rFonts w:hint="eastAsia" w:ascii="Times New Roman" w:hAnsi="Times New Roman"/>
          <w:sz w:val="24"/>
          <w:szCs w:val="24"/>
          <w:lang w:val="en-US" w:eastAsia="zh-CN"/>
        </w:rPr>
        <w:t>It was rare</w:t>
      </w:r>
      <w:r>
        <w:rPr>
          <w:rFonts w:ascii="Times New Roman" w:hAnsi="Times New Roman"/>
          <w:sz w:val="24"/>
          <w:szCs w:val="24"/>
        </w:rPr>
        <w:t xml:space="preserve"> study </w:t>
      </w:r>
      <w:r>
        <w:rPr>
          <w:rFonts w:hint="eastAsia" w:ascii="Times New Roman" w:hAnsi="Times New Roman"/>
          <w:sz w:val="24"/>
          <w:szCs w:val="24"/>
          <w:lang w:val="en-US" w:eastAsia="zh-CN"/>
        </w:rPr>
        <w:t>focus on</w:t>
      </w:r>
      <w:r>
        <w:rPr>
          <w:rFonts w:ascii="Times New Roman" w:hAnsi="Times New Roman"/>
          <w:sz w:val="24"/>
          <w:szCs w:val="24"/>
        </w:rPr>
        <w:t xml:space="preserve"> the variations in functional traits of this species across an elevation gradient or in varied environments. In this study, we used </w:t>
      </w:r>
      <w:r>
        <w:rPr>
          <w:rFonts w:ascii="Times New Roman" w:hAnsi="Times New Roman"/>
          <w:i/>
          <w:sz w:val="24"/>
          <w:szCs w:val="24"/>
        </w:rPr>
        <w:t>O. sinensis</w:t>
      </w:r>
      <w:r>
        <w:rPr>
          <w:rFonts w:ascii="Times New Roman" w:hAnsi="Times New Roman"/>
          <w:sz w:val="24"/>
          <w:szCs w:val="24"/>
        </w:rPr>
        <w:t xml:space="preserve"> to investigate the variation of vein and stomatal traits with elevation and environmental factors at nine elevational sites in the central Hengduan Mountains. </w:t>
      </w:r>
      <w:r>
        <w:rPr>
          <w:rFonts w:hint="eastAsia" w:ascii="Times New Roman" w:hAnsi="Times New Roman"/>
          <w:sz w:val="24"/>
          <w:szCs w:val="24"/>
          <w:lang w:val="en-US" w:eastAsia="zh-CN"/>
        </w:rPr>
        <w:t xml:space="preserve">And </w:t>
      </w:r>
      <w:r>
        <w:rPr>
          <w:rFonts w:ascii="Times New Roman" w:hAnsi="Times New Roman"/>
          <w:sz w:val="24"/>
          <w:szCs w:val="24"/>
        </w:rPr>
        <w:t>discussed the relationships between vein and stomatal traits as affected by varying environments.</w:t>
      </w:r>
    </w:p>
    <w:p>
      <w:pPr>
        <w:spacing w:before="156" w:beforeLines="50" w:after="156" w:afterLines="50" w:line="360" w:lineRule="auto"/>
        <w:rPr>
          <w:rFonts w:ascii="Times New Roman" w:hAnsi="Times New Roman"/>
          <w:b/>
          <w:sz w:val="24"/>
          <w:szCs w:val="24"/>
        </w:rPr>
      </w:pPr>
      <w:r>
        <w:rPr>
          <w:rFonts w:ascii="Times New Roman" w:hAnsi="Times New Roman"/>
          <w:b/>
          <w:sz w:val="24"/>
          <w:szCs w:val="24"/>
        </w:rPr>
        <w:t>Abstract</w:t>
      </w:r>
    </w:p>
    <w:p>
      <w:pPr>
        <w:spacing w:before="156" w:beforeLines="50" w:after="156" w:afterLines="50" w:line="480" w:lineRule="auto"/>
        <w:rPr>
          <w:rFonts w:ascii="Times New Roman" w:hAnsi="Times New Roman"/>
          <w:sz w:val="24"/>
          <w:szCs w:val="24"/>
        </w:rPr>
      </w:pPr>
      <w:r>
        <w:rPr>
          <w:rFonts w:ascii="Times New Roman" w:hAnsi="Times New Roman"/>
          <w:sz w:val="24"/>
          <w:szCs w:val="24"/>
        </w:rPr>
        <w:t xml:space="preserve">Leaf vein and stomatal traits are crucial for maintaining plant water balance, and can reflect the adaptive strategies of plants to their environment. We studied vein and stomatal traits of </w:t>
      </w:r>
      <w:r>
        <w:rPr>
          <w:rFonts w:ascii="Times New Roman" w:hAnsi="Times New Roman"/>
          <w:i/>
          <w:sz w:val="24"/>
          <w:szCs w:val="24"/>
        </w:rPr>
        <w:t>Oxyria sinensis</w:t>
      </w:r>
      <w:r>
        <w:rPr>
          <w:rFonts w:ascii="Times New Roman" w:hAnsi="Times New Roman"/>
          <w:sz w:val="24"/>
          <w:szCs w:val="24"/>
        </w:rPr>
        <w:t xml:space="preserve"> along an elevational gradient in the Hengduan Mountains to explore its adaptive strategies to environmental changes. The measured traits of </w:t>
      </w:r>
      <w:r>
        <w:rPr>
          <w:rFonts w:ascii="Times New Roman" w:hAnsi="Times New Roman"/>
          <w:i/>
          <w:sz w:val="24"/>
          <w:szCs w:val="24"/>
        </w:rPr>
        <w:t>O. sinensis</w:t>
      </w:r>
      <w:r>
        <w:rPr>
          <w:rFonts w:ascii="Times New Roman" w:hAnsi="Times New Roman"/>
          <w:sz w:val="24"/>
          <w:szCs w:val="24"/>
        </w:rPr>
        <w:t xml:space="preserve"> were similar at the lowest (2287, 2390, 2542 and 2720 m) and highest (3157 and 3373 m) investigated elevations. Plants at both the lowest and highest elevations had significantly higher stomatal density, ratio of adaxial stomatal density to stomatal density, and vein density, but lower ratio of abaxial stomatal density to stomatal density and stomatal length than plants measured in the middle elevational band (2797, 2931, and 3005 m). Variations of stomatal and vein traits were mainly influenced by temperature and ultraviolet-B radiation. Stomatal density, ratio of adaxial stomatal density to stomatal density, and vein density were significantly positively correlated with the mean annual temperature (</w:t>
      </w:r>
      <w:r>
        <w:rPr>
          <w:rFonts w:ascii="Times New Roman" w:hAnsi="Times New Roman"/>
          <w:i/>
          <w:sz w:val="24"/>
          <w:szCs w:val="24"/>
        </w:rPr>
        <w:t>MAT</w:t>
      </w:r>
      <w:r>
        <w:rPr>
          <w:rFonts w:ascii="Times New Roman" w:hAnsi="Times New Roman"/>
          <w:sz w:val="24"/>
          <w:szCs w:val="24"/>
        </w:rPr>
        <w:t xml:space="preserve">), but the ratio of abaxial stomatal density to stomatal density and stomatal length were negatively correlated with </w:t>
      </w:r>
      <w:r>
        <w:rPr>
          <w:rFonts w:ascii="Times New Roman" w:hAnsi="Times New Roman"/>
          <w:i/>
          <w:sz w:val="24"/>
          <w:szCs w:val="24"/>
        </w:rPr>
        <w:t>MAT</w:t>
      </w:r>
      <w:r>
        <w:rPr>
          <w:rFonts w:ascii="Times New Roman" w:hAnsi="Times New Roman"/>
          <w:sz w:val="24"/>
          <w:szCs w:val="24"/>
        </w:rPr>
        <w:t>. Stomatal density and the ratio of adaxial stomatal density to stomatal density were negatively correlated with daily mean maximum ultraviolet-B intensity during the growing season (</w:t>
      </w:r>
      <w:r>
        <w:rPr>
          <w:rFonts w:ascii="Times New Roman" w:hAnsi="Times New Roman"/>
          <w:i/>
          <w:sz w:val="24"/>
          <w:szCs w:val="24"/>
        </w:rPr>
        <w:t>UV-B</w:t>
      </w:r>
      <w:r>
        <w:rPr>
          <w:rFonts w:ascii="Times New Roman" w:hAnsi="Times New Roman"/>
          <w:sz w:val="24"/>
          <w:szCs w:val="24"/>
        </w:rPr>
        <w:t xml:space="preserve">), but the ratio of abaxial stomatal density to stomatal density was positively correlated with </w:t>
      </w:r>
      <w:r>
        <w:rPr>
          <w:rFonts w:ascii="Times New Roman" w:hAnsi="Times New Roman"/>
          <w:i/>
          <w:sz w:val="24"/>
          <w:szCs w:val="24"/>
        </w:rPr>
        <w:t>UV-B</w:t>
      </w:r>
      <w:r>
        <w:rPr>
          <w:rFonts w:ascii="Times New Roman" w:hAnsi="Times New Roman"/>
          <w:sz w:val="24"/>
          <w:szCs w:val="24"/>
        </w:rPr>
        <w:t>. These findings provide a better understanding of the adaption of herbaceous plants to elevational change and the potential effects of climate change on their community dynamics.</w:t>
      </w:r>
    </w:p>
    <w:p>
      <w:pPr>
        <w:spacing w:before="156" w:beforeLines="50" w:after="156" w:afterLines="50" w:line="480" w:lineRule="auto"/>
        <w:rPr>
          <w:rFonts w:ascii="Times New Roman" w:hAnsi="Times New Roman"/>
          <w:sz w:val="24"/>
          <w:szCs w:val="24"/>
        </w:rPr>
      </w:pPr>
      <w:r>
        <w:rPr>
          <w:rFonts w:ascii="Times New Roman" w:hAnsi="Times New Roman"/>
          <w:b/>
          <w:sz w:val="24"/>
          <w:szCs w:val="24"/>
        </w:rPr>
        <w:t>Keywords</w:t>
      </w:r>
      <w:r>
        <w:rPr>
          <w:rFonts w:hint="eastAsia" w:ascii="Times New Roman" w:hAnsi="Times New Roman"/>
          <w:b/>
          <w:sz w:val="24"/>
          <w:szCs w:val="24"/>
        </w:rPr>
        <w:t>:</w:t>
      </w:r>
      <w:r>
        <w:rPr>
          <w:rFonts w:ascii="Times New Roman" w:hAnsi="Times New Roman"/>
          <w:sz w:val="24"/>
          <w:szCs w:val="24"/>
        </w:rPr>
        <w:t>Adaptation; Temperature; Ultraviolet; Leaf hydraulic balance; Hengduan Mountains</w:t>
      </w:r>
    </w:p>
    <w:p>
      <w:pPr>
        <w:spacing w:before="156" w:beforeLines="50" w:after="156" w:afterLines="50" w:line="480" w:lineRule="auto"/>
        <w:rPr>
          <w:rFonts w:ascii="Times New Roman" w:hAnsi="Times New Roman"/>
          <w:b/>
          <w:sz w:val="24"/>
          <w:szCs w:val="24"/>
        </w:rPr>
      </w:pPr>
      <w:r>
        <w:rPr>
          <w:rFonts w:ascii="Times New Roman" w:hAnsi="Times New Roman"/>
          <w:b/>
          <w:sz w:val="24"/>
          <w:szCs w:val="24"/>
        </w:rPr>
        <w:t>Introduction</w:t>
      </w:r>
    </w:p>
    <w:p>
      <w:pPr>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 xml:space="preserve">Variations in leaf vein, stomata, and their coordinated relationships are considered good </w:t>
      </w:r>
      <w:bookmarkStart w:id="2" w:name="OLE_LINK25"/>
      <w:bookmarkStart w:id="3" w:name="OLE_LINK24"/>
      <w:r>
        <w:rPr>
          <w:rFonts w:ascii="Times New Roman" w:hAnsi="Times New Roman"/>
          <w:sz w:val="24"/>
          <w:szCs w:val="24"/>
        </w:rPr>
        <w:t>predictors of</w:t>
      </w:r>
      <w:bookmarkEnd w:id="2"/>
      <w:bookmarkEnd w:id="3"/>
      <w:r>
        <w:rPr>
          <w:rFonts w:ascii="Times New Roman" w:hAnsi="Times New Roman"/>
          <w:sz w:val="24"/>
          <w:szCs w:val="24"/>
        </w:rPr>
        <w:t xml:space="preserve"> plant physiological functions and adaptation (Brodribb et al. 2007; Blonder et al. 2017). Leaf veins are involved in sugar loading, transportation of photosynthates and water within leaves, and mechanical support (Sack and Scoffoni 2013). A higher photosynthetic rate requires a faster flow of water and thus denser venation, which is also coupled with higher construction costs for leaf growth (Brodribb et al. 2007). Stomata are regulators between plants and the external atmosphere. Greater stomatal density and smaller stomatal size may increase the exchange of CO</w:t>
      </w:r>
      <w:r>
        <w:rPr>
          <w:rFonts w:ascii="Times New Roman" w:hAnsi="Times New Roman"/>
          <w:sz w:val="24"/>
          <w:szCs w:val="24"/>
          <w:vertAlign w:val="subscript"/>
        </w:rPr>
        <w:t>2</w:t>
      </w:r>
      <w:r>
        <w:rPr>
          <w:rFonts w:ascii="Times New Roman" w:hAnsi="Times New Roman"/>
          <w:sz w:val="24"/>
          <w:szCs w:val="24"/>
        </w:rPr>
        <w:t xml:space="preserve"> and water vapor, thus increasing photosynthetic capacity and water transpiration (Franks and Beerling 2009). Stomata can present as </w:t>
      </w:r>
      <w:bookmarkStart w:id="4" w:name="OLE_LINK29"/>
      <w:bookmarkStart w:id="5" w:name="OLE_LINK28"/>
      <w:bookmarkStart w:id="6" w:name="OLE_LINK45"/>
      <w:bookmarkStart w:id="7" w:name="OLE_LINK44"/>
      <w:bookmarkStart w:id="8" w:name="OLE_LINK46"/>
      <w:r>
        <w:rPr>
          <w:rFonts w:ascii="Times New Roman" w:hAnsi="Times New Roman"/>
          <w:sz w:val="24"/>
          <w:szCs w:val="24"/>
        </w:rPr>
        <w:t>amphistomatous</w:t>
      </w:r>
      <w:bookmarkEnd w:id="4"/>
      <w:bookmarkEnd w:id="5"/>
      <w:bookmarkEnd w:id="6"/>
      <w:bookmarkEnd w:id="7"/>
      <w:bookmarkEnd w:id="8"/>
      <w:r>
        <w:rPr>
          <w:rFonts w:ascii="Times New Roman" w:hAnsi="Times New Roman"/>
          <w:sz w:val="24"/>
          <w:szCs w:val="24"/>
        </w:rPr>
        <w:t xml:space="preserve"> or on only either the abaxial (hypostomatous) or the adaxial (hyperstomatous) surface (Haworth et al. 2018). Even for amphistomatous species, stomata are frequently present in different numbers on both leaf surfaces (Drake et al. 2019). In general, there is a</w:t>
      </w:r>
      <w:bookmarkStart w:id="9" w:name="OLE_LINK47"/>
      <w:bookmarkStart w:id="10" w:name="OLE_LINK48"/>
      <w:r>
        <w:rPr>
          <w:rFonts w:ascii="Times New Roman" w:hAnsi="Times New Roman"/>
          <w:sz w:val="24"/>
          <w:szCs w:val="24"/>
        </w:rPr>
        <w:t xml:space="preserve"> coupling</w:t>
      </w:r>
      <w:bookmarkEnd w:id="9"/>
      <w:bookmarkEnd w:id="10"/>
      <w:r>
        <w:rPr>
          <w:rFonts w:ascii="Times New Roman" w:hAnsi="Times New Roman"/>
          <w:sz w:val="24"/>
          <w:szCs w:val="24"/>
        </w:rPr>
        <w:t xml:space="preserve"> between hydraulic </w:t>
      </w:r>
      <w:bookmarkStart w:id="11" w:name="OLE_LINK49"/>
      <w:bookmarkStart w:id="12" w:name="OLE_LINK50"/>
      <w:r>
        <w:rPr>
          <w:rFonts w:ascii="Times New Roman" w:hAnsi="Times New Roman"/>
          <w:sz w:val="24"/>
          <w:szCs w:val="24"/>
        </w:rPr>
        <w:t xml:space="preserve">conductance </w:t>
      </w:r>
      <w:bookmarkEnd w:id="11"/>
      <w:bookmarkEnd w:id="12"/>
      <w:r>
        <w:rPr>
          <w:rFonts w:ascii="Times New Roman" w:hAnsi="Times New Roman"/>
          <w:sz w:val="24"/>
          <w:szCs w:val="24"/>
        </w:rPr>
        <w:t>and stomatal conductance so that water supply and demand are matched to ensure continuous photosynthesis (Brodribb and Jordan 2011). Theoretically, plants can achieve an optimal balance between liquid and vapor water phases to avoid high water loss if the densities of veins and stomata are coordinated with the growth environment (</w:t>
      </w:r>
      <w:bookmarkStart w:id="13" w:name="OLE_LINK16"/>
      <w:bookmarkStart w:id="14" w:name="OLE_LINK17"/>
      <w:r>
        <w:rPr>
          <w:rFonts w:ascii="Times New Roman" w:hAnsi="Times New Roman"/>
          <w:sz w:val="24"/>
          <w:szCs w:val="24"/>
        </w:rPr>
        <w:t>Sun et al. 2014</w:t>
      </w:r>
      <w:bookmarkEnd w:id="13"/>
      <w:bookmarkEnd w:id="14"/>
      <w:r>
        <w:rPr>
          <w:rFonts w:ascii="Times New Roman" w:hAnsi="Times New Roman"/>
          <w:sz w:val="24"/>
          <w:szCs w:val="24"/>
        </w:rPr>
        <w:t>). Previous studies have reported a positive correlation between vein density and stomatal density at the species, genus, and family levels (Brodribb and Jordan 2011; Sun et al. 2014; Zhang et al. 2014b). However, it is unclear whether such correlation is affected by the environment.</w:t>
      </w:r>
    </w:p>
    <w:p>
      <w:pPr>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 xml:space="preserve">Numerous studies have shown that the development of veins and stomata are regulated by environmental conditions (Soudzilovskaia et al. 2013; Hill et al. 2015; Stewart et al. 2017). For example, in the Australian native shrub </w:t>
      </w:r>
      <w:r>
        <w:rPr>
          <w:rFonts w:ascii="Times New Roman" w:hAnsi="Times New Roman"/>
          <w:i/>
          <w:sz w:val="24"/>
          <w:szCs w:val="24"/>
        </w:rPr>
        <w:t>Dodonaea viscosa</w:t>
      </w:r>
      <w:r>
        <w:rPr>
          <w:rFonts w:ascii="Times New Roman" w:hAnsi="Times New Roman"/>
          <w:sz w:val="24"/>
          <w:szCs w:val="24"/>
        </w:rPr>
        <w:t xml:space="preserve"> subsp. </w:t>
      </w:r>
      <w:r>
        <w:rPr>
          <w:rFonts w:ascii="Times New Roman" w:hAnsi="Times New Roman"/>
          <w:i/>
          <w:sz w:val="24"/>
          <w:szCs w:val="24"/>
        </w:rPr>
        <w:t>angustissima</w:t>
      </w:r>
      <w:r>
        <w:rPr>
          <w:rFonts w:ascii="Times New Roman" w:hAnsi="Times New Roman"/>
          <w:sz w:val="24"/>
          <w:szCs w:val="24"/>
        </w:rPr>
        <w:t xml:space="preserve">, a significant relationship was found between temperature and stomatal density, while no significant relationships were detected between rainfall, stomatal density, and size (Hill et al. 2015). </w:t>
      </w:r>
      <w:r>
        <w:rPr>
          <w:rFonts w:ascii="Times New Roman" w:hAnsi="Times New Roman"/>
          <w:i/>
          <w:iCs/>
          <w:sz w:val="24"/>
          <w:szCs w:val="24"/>
        </w:rPr>
        <w:t>Nicotiana tabacum</w:t>
      </w:r>
      <w:r>
        <w:rPr>
          <w:rFonts w:ascii="Times New Roman" w:hAnsi="Times New Roman"/>
          <w:i/>
          <w:sz w:val="24"/>
          <w:szCs w:val="24"/>
        </w:rPr>
        <w:t xml:space="preserve"> </w:t>
      </w:r>
      <w:r>
        <w:rPr>
          <w:rFonts w:ascii="Times New Roman" w:hAnsi="Times New Roman"/>
          <w:sz w:val="24"/>
          <w:szCs w:val="24"/>
        </w:rPr>
        <w:t xml:space="preserve">plants grown in warmer conditions have significantly higher stomatal </w:t>
      </w:r>
      <w:bookmarkStart w:id="15" w:name="OLE_LINK1"/>
      <w:bookmarkStart w:id="16" w:name="OLE_LINK2"/>
      <w:r>
        <w:rPr>
          <w:rFonts w:ascii="Times New Roman" w:hAnsi="Times New Roman"/>
          <w:sz w:val="24"/>
          <w:szCs w:val="24"/>
        </w:rPr>
        <w:t>and vein densities</w:t>
      </w:r>
      <w:bookmarkEnd w:id="15"/>
      <w:bookmarkEnd w:id="16"/>
      <w:r>
        <w:rPr>
          <w:rFonts w:ascii="Times New Roman" w:hAnsi="Times New Roman"/>
          <w:sz w:val="24"/>
          <w:szCs w:val="24"/>
        </w:rPr>
        <w:t xml:space="preserve"> </w:t>
      </w:r>
      <w:bookmarkStart w:id="17" w:name="OLE_LINK53"/>
      <w:bookmarkStart w:id="18" w:name="OLE_LINK54"/>
      <w:r>
        <w:rPr>
          <w:rFonts w:ascii="Times New Roman" w:hAnsi="Times New Roman"/>
          <w:sz w:val="24"/>
          <w:szCs w:val="24"/>
        </w:rPr>
        <w:t xml:space="preserve">compared </w:t>
      </w:r>
      <w:bookmarkEnd w:id="17"/>
      <w:bookmarkEnd w:id="18"/>
      <w:r>
        <w:rPr>
          <w:rFonts w:ascii="Times New Roman" w:hAnsi="Times New Roman"/>
          <w:sz w:val="24"/>
          <w:szCs w:val="24"/>
        </w:rPr>
        <w:t xml:space="preserve">with tobacco plants grown at lower temperatures (Hu et al 2014). Stomatal density and vein density are both enhanced by high light intensity in </w:t>
      </w:r>
      <w:r>
        <w:rPr>
          <w:rFonts w:ascii="Times New Roman" w:hAnsi="Times New Roman"/>
          <w:i/>
          <w:sz w:val="24"/>
          <w:szCs w:val="24"/>
        </w:rPr>
        <w:t>Arabidopsis thaliana</w:t>
      </w:r>
      <w:r>
        <w:rPr>
          <w:rFonts w:ascii="Times New Roman" w:hAnsi="Times New Roman"/>
          <w:sz w:val="24"/>
          <w:szCs w:val="24"/>
        </w:rPr>
        <w:t xml:space="preserve"> (Stewart et al. 2017). The relationship between vein density and mean annual temperature is strong, while no relationships have been observed between any vein traits and precipitation (Blonder et al. 2017). Vein density increases with mean annual temperature (Sack and Scoffoni 2013), although sometimes contradictory or weak relationships are found (Dunbar-Co et al. 2009). Some studies have also focused on the spatial variations in the vein and stomatal traits within specific species or groups of species along environmental gradients, since addressing the questions of how and why these traits vary among spatial sites is the most important step towards understanding ecosystem properties (Soudzilovskaia et al. 2013).</w:t>
      </w:r>
    </w:p>
    <w:p>
      <w:pPr>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Elevational gradients are usually used to study how plant traits respond to environmental changes because short geographical distances can produce large climatic gradients as the elevation changes (Körner 2007). Changes in stomatal traits re an important component of plant adaptation to increasing elevation (Li et al. 2006; Wang et al. 2014; Shi et al. 2015), because the changes in air temperature, CO</w:t>
      </w:r>
      <w:r>
        <w:rPr>
          <w:rFonts w:ascii="Times New Roman" w:hAnsi="Times New Roman"/>
          <w:sz w:val="24"/>
          <w:szCs w:val="24"/>
          <w:vertAlign w:val="subscript"/>
        </w:rPr>
        <w:t>2</w:t>
      </w:r>
      <w:r>
        <w:rPr>
          <w:rFonts w:ascii="Times New Roman" w:hAnsi="Times New Roman"/>
          <w:sz w:val="24"/>
          <w:szCs w:val="24"/>
        </w:rPr>
        <w:t xml:space="preserve"> partial pressure, vapor pressure deficit, wind speed, and UV irradiance may affect stomatal development (Wang et al. 2014). Many previous studies have shown a positive trend in stomatal density and a negative trend in stomatal size with increasing elevations (Kouwenberg et al. 2007; Bresson et al. 2011; Paridari et al. 2013). However, other studies have reported fewer stomata at high elevations (Schoettle and Rochelle 2000), and no changes (Bucher et al. 2016; </w:t>
      </w:r>
      <w:bookmarkStart w:id="19" w:name="OLE_LINK18"/>
      <w:bookmarkStart w:id="20" w:name="OLE_LINK19"/>
      <w:r>
        <w:rPr>
          <w:rFonts w:ascii="Times New Roman" w:hAnsi="Times New Roman"/>
          <w:sz w:val="24"/>
          <w:szCs w:val="24"/>
        </w:rPr>
        <w:t>Zhao et al. 2016</w:t>
      </w:r>
      <w:bookmarkEnd w:id="19"/>
      <w:bookmarkEnd w:id="20"/>
      <w:r>
        <w:rPr>
          <w:rFonts w:ascii="Times New Roman" w:hAnsi="Times New Roman"/>
          <w:sz w:val="24"/>
          <w:szCs w:val="24"/>
        </w:rPr>
        <w:t>), or non-linear (Li et al. 2006) variations in stomatal density or size with increasing elevation. Thus, the variation of stomatal traits with environmental gradients is not fully understood. Moreover, studies are limited on the variations of vein traits and the relationships between stomata and venation along an elevation gradient (Zhao et al. 2016), and most investigations have focused on woody plants but not herbaceous species (Bucher et al. 2016). Since woody and herbaceous species may act differently in water-use strategies (Blonder and Enquist 2014), studies on herbaceous plants are important to further understand plant adaptation to environmental change.</w:t>
      </w:r>
    </w:p>
    <w:p>
      <w:pPr>
        <w:widowControl/>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 xml:space="preserve">The Hengduan Mountains, located at the southeastern boundary of the Qinghai-Tibetan Plateau (QTP), </w:t>
      </w:r>
      <w:r>
        <w:rPr>
          <w:rFonts w:hint="eastAsia" w:ascii="Times New Roman" w:hAnsi="Times New Roman"/>
          <w:sz w:val="24"/>
          <w:szCs w:val="24"/>
          <w:lang w:val="en-US" w:eastAsia="zh-CN"/>
        </w:rPr>
        <w:t>is</w:t>
      </w:r>
      <w:r>
        <w:rPr>
          <w:rFonts w:ascii="Times New Roman" w:hAnsi="Times New Roman"/>
          <w:sz w:val="24"/>
          <w:szCs w:val="24"/>
        </w:rPr>
        <w:t xml:space="preserve"> an ideal study site to investigate the response of plants to environmental changes because of its large elevational gradient and sensitivity to climate change (Sun et al. 2016). </w:t>
      </w:r>
      <w:r>
        <w:rPr>
          <w:rFonts w:ascii="Times New Roman" w:hAnsi="Times New Roman"/>
          <w:i/>
          <w:iCs/>
          <w:sz w:val="24"/>
          <w:szCs w:val="24"/>
        </w:rPr>
        <w:t>Oxyria sinensis</w:t>
      </w:r>
      <w:r>
        <w:rPr>
          <w:rFonts w:ascii="Times New Roman" w:hAnsi="Times New Roman"/>
          <w:sz w:val="24"/>
          <w:szCs w:val="24"/>
        </w:rPr>
        <w:t xml:space="preserve"> is a typical herbaceous species that is commonly found on mountains from 1,600 m to 3,800 m above sea level in this region (Wu and Chen 2000). </w:t>
      </w:r>
      <w:r>
        <w:rPr>
          <w:rFonts w:ascii="Times New Roman" w:hAnsi="Times New Roman"/>
          <w:i/>
          <w:iCs/>
          <w:sz w:val="24"/>
          <w:szCs w:val="24"/>
        </w:rPr>
        <w:t>Oxyria sinensis</w:t>
      </w:r>
      <w:r>
        <w:rPr>
          <w:rFonts w:ascii="Times New Roman" w:hAnsi="Times New Roman"/>
          <w:sz w:val="24"/>
          <w:szCs w:val="24"/>
        </w:rPr>
        <w:t xml:space="preserve"> shows a strong ecological </w:t>
      </w:r>
      <w:bookmarkStart w:id="21" w:name="OLE_LINK56"/>
      <w:bookmarkStart w:id="22" w:name="OLE_LINK55"/>
      <w:r>
        <w:rPr>
          <w:rFonts w:ascii="Times New Roman" w:hAnsi="Times New Roman"/>
          <w:sz w:val="24"/>
          <w:szCs w:val="24"/>
        </w:rPr>
        <w:t>adaptability</w:t>
      </w:r>
      <w:bookmarkEnd w:id="21"/>
      <w:bookmarkEnd w:id="22"/>
      <w:r>
        <w:rPr>
          <w:rFonts w:ascii="Times New Roman" w:hAnsi="Times New Roman"/>
          <w:sz w:val="24"/>
          <w:szCs w:val="24"/>
        </w:rPr>
        <w:t xml:space="preserve">, thus it can be used as a model for exploring plant adaptation to environments. Previous studies have focused on the economic value of </w:t>
      </w:r>
      <w:r>
        <w:rPr>
          <w:rFonts w:ascii="Times New Roman" w:hAnsi="Times New Roman"/>
          <w:i/>
          <w:sz w:val="24"/>
          <w:szCs w:val="24"/>
        </w:rPr>
        <w:t>O. sinensis</w:t>
      </w:r>
      <w:r>
        <w:rPr>
          <w:rFonts w:ascii="Times New Roman" w:hAnsi="Times New Roman"/>
          <w:sz w:val="24"/>
          <w:szCs w:val="24"/>
        </w:rPr>
        <w:t xml:space="preserve"> for ornamental, consumption, and medicinal purposes as well as heavy metal pollution (Li et al. 2013; Luo et al. 2017). To our knowledge, no study has attended to the variations in functional traits of this species across an elevation gradient or in varied environments. In this study, we used </w:t>
      </w:r>
      <w:r>
        <w:rPr>
          <w:rFonts w:ascii="Times New Roman" w:hAnsi="Times New Roman"/>
          <w:i/>
          <w:sz w:val="24"/>
          <w:szCs w:val="24"/>
        </w:rPr>
        <w:t>O. sinensis</w:t>
      </w:r>
      <w:r>
        <w:rPr>
          <w:rFonts w:ascii="Times New Roman" w:hAnsi="Times New Roman"/>
          <w:sz w:val="24"/>
          <w:szCs w:val="24"/>
        </w:rPr>
        <w:t xml:space="preserve"> to investigate the variation of vein and stomatal traits with elevation and environmental factors at nine elevational sites in the central Hengduan Mountains. We then discussed the relationships between vein and stomatal traits as affected by varying environments.</w:t>
      </w:r>
    </w:p>
    <w:p>
      <w:pPr>
        <w:spacing w:before="156" w:beforeLines="50" w:after="156" w:afterLines="50" w:line="480" w:lineRule="auto"/>
        <w:rPr>
          <w:rFonts w:ascii="Times New Roman" w:hAnsi="Times New Roman"/>
          <w:b/>
          <w:sz w:val="24"/>
          <w:szCs w:val="24"/>
        </w:rPr>
      </w:pPr>
      <w:r>
        <w:rPr>
          <w:rFonts w:ascii="Times New Roman" w:hAnsi="Times New Roman"/>
          <w:b/>
          <w:sz w:val="24"/>
          <w:szCs w:val="24"/>
        </w:rPr>
        <w:t>Materials and methods</w:t>
      </w:r>
    </w:p>
    <w:p>
      <w:pPr>
        <w:spacing w:before="156" w:beforeLines="50" w:after="156" w:afterLines="50" w:line="480" w:lineRule="auto"/>
        <w:rPr>
          <w:rFonts w:ascii="Times New Roman" w:hAnsi="Times New Roman"/>
          <w:b/>
          <w:bCs/>
          <w:i/>
          <w:iCs/>
          <w:sz w:val="24"/>
          <w:szCs w:val="24"/>
        </w:rPr>
      </w:pPr>
      <w:r>
        <w:rPr>
          <w:rFonts w:ascii="Times New Roman" w:hAnsi="Times New Roman"/>
          <w:b/>
          <w:bCs/>
          <w:sz w:val="24"/>
          <w:szCs w:val="24"/>
        </w:rPr>
        <w:t>Sampling sites</w:t>
      </w:r>
    </w:p>
    <w:p>
      <w:pPr>
        <w:spacing w:before="156" w:beforeLines="50" w:after="156" w:afterLines="50" w:line="480" w:lineRule="auto"/>
        <w:rPr>
          <w:rFonts w:ascii="Times New Roman" w:hAnsi="Times New Roman"/>
          <w:sz w:val="24"/>
          <w:szCs w:val="24"/>
        </w:rPr>
      </w:pPr>
      <w:r>
        <w:rPr>
          <w:rFonts w:ascii="Times New Roman" w:hAnsi="Times New Roman"/>
          <w:sz w:val="24"/>
          <w:szCs w:val="24"/>
        </w:rPr>
        <w:t xml:space="preserve">The leaves of </w:t>
      </w:r>
      <w:r>
        <w:rPr>
          <w:rFonts w:ascii="Times New Roman" w:hAnsi="Times New Roman"/>
          <w:i/>
          <w:sz w:val="24"/>
          <w:szCs w:val="24"/>
        </w:rPr>
        <w:t xml:space="preserve">O. sinensis </w:t>
      </w:r>
      <w:r>
        <w:rPr>
          <w:rFonts w:ascii="Times New Roman" w:hAnsi="Times New Roman"/>
          <w:sz w:val="24"/>
          <w:szCs w:val="24"/>
        </w:rPr>
        <w:t>were collected from nine sampling sites along an elevational gradient (from 2,287 to 3,373 m a.s.l.) in the central Hengduan Mountains in southwestern China. All of the collecting sites were at forest edges. Because our sampling sites were set in a large elevational range from 2,287 to 3,373 m a.s.l., but short longitudinal (98.627°–98.854°) and latitudinal ranges (28.478°–29.189°) (Table 1), the leaf traits were mainly shaped by the environmental changes along the elevational gradients.</w:t>
      </w:r>
    </w:p>
    <w:p>
      <w:pPr>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The climate in the sampling area is dominated by the East Asian monsoon and Indian Ocean monsoon, with a well-defined contrast between the wet (May to October) and dry (November to April of the next year) seasons; approximately 85% of the total precipitation occurs during the wet season. The mean annual temperature (MAT, ºC), mean annual precipitation (MAP, cm) and annual mean relative humidity (RH, %) of each site was extracted from a global gridded climate dataset (precision: 0.16º×0.16º; http://www.paleo.bris.ac.uk/) (Table 1). The daily maximum ultraviolet-B radiation (280–315 nm) was obtained from a Tropospheric Ultraviolet and Visible radiation model (http://cprm.acd.ucar.edu/Models/TUV/Interactive_TUV/). UV-B (W m</w:t>
      </w:r>
      <w:r>
        <w:rPr>
          <w:rFonts w:ascii="Times New Roman" w:hAnsi="Times New Roman"/>
          <w:sz w:val="24"/>
          <w:szCs w:val="24"/>
          <w:vertAlign w:val="superscript"/>
        </w:rPr>
        <w:t>-2</w:t>
      </w:r>
      <w:r>
        <w:rPr>
          <w:rFonts w:ascii="Times New Roman" w:hAnsi="Times New Roman"/>
          <w:sz w:val="24"/>
          <w:szCs w:val="24"/>
        </w:rPr>
        <w:t xml:space="preserve">) was calculated as the daily mean maximum ultraviolet-B intensity (Table 1). </w:t>
      </w:r>
      <w:bookmarkStart w:id="23" w:name="OLE_LINK57"/>
      <w:bookmarkStart w:id="24" w:name="OLE_LINK58"/>
      <w:r>
        <w:rPr>
          <w:rFonts w:ascii="Times New Roman" w:hAnsi="Times New Roman"/>
          <w:sz w:val="24"/>
          <w:szCs w:val="24"/>
        </w:rPr>
        <w:t xml:space="preserve">The soil type in the </w:t>
      </w:r>
      <w:bookmarkEnd w:id="23"/>
      <w:bookmarkEnd w:id="24"/>
      <w:r>
        <w:rPr>
          <w:rFonts w:ascii="Times New Roman" w:hAnsi="Times New Roman"/>
          <w:sz w:val="24"/>
          <w:szCs w:val="24"/>
        </w:rPr>
        <w:t xml:space="preserve">sampling area is brown forestry soil that was formed by erosion of sandy slate and shale. The pH of the soil ranged from 6 to 7. The dominant woody plants in this region are </w:t>
      </w:r>
      <w:r>
        <w:rPr>
          <w:rFonts w:ascii="Times New Roman" w:hAnsi="Times New Roman"/>
          <w:i/>
          <w:sz w:val="24"/>
          <w:szCs w:val="24"/>
        </w:rPr>
        <w:t>Quercus</w:t>
      </w:r>
      <w:r>
        <w:rPr>
          <w:rFonts w:ascii="Times New Roman" w:hAnsi="Times New Roman"/>
          <w:sz w:val="24"/>
          <w:szCs w:val="24"/>
        </w:rPr>
        <w:t xml:space="preserve"> sect. </w:t>
      </w:r>
      <w:r>
        <w:rPr>
          <w:rFonts w:ascii="Times New Roman" w:hAnsi="Times New Roman"/>
          <w:i/>
          <w:sz w:val="24"/>
          <w:szCs w:val="24"/>
        </w:rPr>
        <w:t>Heterobalanus</w:t>
      </w:r>
      <w:r>
        <w:rPr>
          <w:rFonts w:ascii="Times New Roman" w:hAnsi="Times New Roman"/>
          <w:sz w:val="24"/>
          <w:szCs w:val="24"/>
        </w:rPr>
        <w:t xml:space="preserve">, alpine conifers, and </w:t>
      </w:r>
      <w:r>
        <w:rPr>
          <w:rFonts w:ascii="Times New Roman" w:hAnsi="Times New Roman"/>
          <w:i/>
          <w:sz w:val="24"/>
          <w:szCs w:val="24"/>
        </w:rPr>
        <w:t>Rhododendron</w:t>
      </w:r>
      <w:r>
        <w:rPr>
          <w:rFonts w:ascii="Times New Roman" w:hAnsi="Times New Roman"/>
          <w:sz w:val="24"/>
          <w:szCs w:val="24"/>
        </w:rPr>
        <w:t>.</w:t>
      </w:r>
    </w:p>
    <w:p>
      <w:pPr>
        <w:spacing w:before="156" w:beforeLines="50" w:after="156" w:afterLines="50" w:line="480" w:lineRule="auto"/>
        <w:rPr>
          <w:rFonts w:ascii="Times New Roman" w:hAnsi="Times New Roman"/>
          <w:b/>
          <w:bCs/>
          <w:sz w:val="24"/>
          <w:szCs w:val="24"/>
        </w:rPr>
      </w:pPr>
      <w:r>
        <w:rPr>
          <w:rFonts w:ascii="Times New Roman" w:hAnsi="Times New Roman"/>
          <w:b/>
          <w:bCs/>
          <w:sz w:val="24"/>
          <w:szCs w:val="24"/>
        </w:rPr>
        <w:t>Experimental design</w:t>
      </w:r>
    </w:p>
    <w:p>
      <w:pPr>
        <w:spacing w:before="156" w:beforeLines="50" w:after="156" w:afterLines="50" w:line="480" w:lineRule="auto"/>
        <w:rPr>
          <w:rFonts w:ascii="Times New Roman" w:hAnsi="Times New Roman"/>
          <w:sz w:val="24"/>
          <w:szCs w:val="24"/>
        </w:rPr>
      </w:pPr>
      <w:r>
        <w:rPr>
          <w:rFonts w:ascii="Times New Roman" w:hAnsi="Times New Roman"/>
          <w:sz w:val="24"/>
          <w:szCs w:val="24"/>
        </w:rPr>
        <w:t>All plants in the present study were the populations native, and we conducted our measurements during the wet season (from July to September) in 2016. We randomly selected four healthy individuals at each site. From each individual, we collected one fresh, undamaged, mature leaf. This sample size meets the experimental needs of investigations and the requirements of statistical analyses (Baraloto et al. 2010). The sampled leaves were harvested, preserved in FAA (formalin, glacial acetic acid, ethanol, and distilled water; 10:5:50:35; v:v:v:v), and then taken to the laboratory to measure vein and stomatal traits.</w:t>
      </w:r>
    </w:p>
    <w:p>
      <w:pPr>
        <w:spacing w:before="156" w:beforeLines="50" w:after="156" w:afterLines="50" w:line="480" w:lineRule="auto"/>
        <w:rPr>
          <w:rFonts w:ascii="Times New Roman" w:hAnsi="Times New Roman"/>
          <w:b/>
          <w:bCs/>
          <w:sz w:val="24"/>
          <w:szCs w:val="24"/>
        </w:rPr>
      </w:pPr>
      <w:r>
        <w:rPr>
          <w:rFonts w:ascii="Times New Roman" w:hAnsi="Times New Roman"/>
          <w:b/>
          <w:bCs/>
          <w:sz w:val="24"/>
          <w:szCs w:val="24"/>
        </w:rPr>
        <w:t>Measurements of vein and stomatal traits</w:t>
      </w:r>
    </w:p>
    <w:p>
      <w:pPr>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In the laboratory, the leaves were divided into upper, middle, and lower sections, and subsequently cut into 1×1 cm squares. These squares were later immersed in 7% NaOH aqueous solution for 5–8 days until the color of the solution remained unchanged. The leaf squares were prepared for microscopy using the following procedure: the squares were soaked for 30 minutes in distilled water, bleached for 20 min in 5% sodium hypochlorite, soaked for another 30 minutes in distilled water, soaked for 12 hours in 150% chloral hydrate solution, and soaked for the other 30 minutes in distilled water. The squares were then stained for 3 minutes with 1% toluidine blue, decolorized by an alcohol series (25%, 50%, 70%, 95%) for 3 minutes per concentration, mounted on slides with the abaxial side up, and photographed under a light microscope (DM2500, Leica Inc., Bensheim, Germany).</w:t>
      </w:r>
    </w:p>
    <w:p>
      <w:pPr>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Thirty digital images with clear abaxial stomata (Figure 1a), and another 30 digital images with clear venation (Figure 1c) for each site were measured for abaxial stomatal traits and vein length, respectively, using the ImageJ software (v.1.48; Wayne Rasband, National Institutes of Health, USA; available on the website: http://rsb.info.nih.gov/ij/). Abaxial stomatal density (</w:t>
      </w:r>
      <w:r>
        <w:rPr>
          <w:rFonts w:ascii="Times New Roman" w:hAnsi="Times New Roman"/>
          <w:i/>
          <w:sz w:val="24"/>
          <w:szCs w:val="24"/>
        </w:rPr>
        <w:t>SD</w:t>
      </w:r>
      <w:r>
        <w:rPr>
          <w:rFonts w:ascii="Times New Roman" w:hAnsi="Times New Roman"/>
          <w:sz w:val="24"/>
          <w:szCs w:val="24"/>
          <w:vertAlign w:val="subscript"/>
        </w:rPr>
        <w:t>down</w:t>
      </w:r>
      <w:r>
        <w:rPr>
          <w:rFonts w:ascii="Times New Roman" w:hAnsi="Times New Roman"/>
          <w:sz w:val="24"/>
          <w:szCs w:val="24"/>
        </w:rPr>
        <w:t>, no. mm</w:t>
      </w:r>
      <w:r>
        <w:rPr>
          <w:rFonts w:ascii="Times New Roman" w:hAnsi="Times New Roman"/>
          <w:sz w:val="24"/>
          <w:szCs w:val="24"/>
          <w:vertAlign w:val="superscript"/>
        </w:rPr>
        <w:t>-2</w:t>
      </w:r>
      <w:r>
        <w:rPr>
          <w:rFonts w:ascii="Times New Roman" w:hAnsi="Times New Roman"/>
          <w:sz w:val="24"/>
          <w:szCs w:val="24"/>
        </w:rPr>
        <w:t>) was measured as the number of abaxial stomata per area and was calculated as the mean value of the 30 digital images. The length of abaxial stomata (SL</w:t>
      </w:r>
      <w:r>
        <w:rPr>
          <w:rFonts w:ascii="Times New Roman" w:hAnsi="Times New Roman"/>
          <w:sz w:val="24"/>
          <w:szCs w:val="24"/>
          <w:vertAlign w:val="subscript"/>
        </w:rPr>
        <w:t>down</w:t>
      </w:r>
      <w:r>
        <w:rPr>
          <w:rFonts w:ascii="Times New Roman" w:hAnsi="Times New Roman"/>
          <w:sz w:val="24"/>
          <w:szCs w:val="24"/>
        </w:rPr>
        <w:t>, μm) was averaged from 30 randomly selected stomata for each site. Vein density (VD, mm mm</w:t>
      </w:r>
      <w:r>
        <w:rPr>
          <w:rFonts w:ascii="Times New Roman" w:hAnsi="Times New Roman"/>
          <w:sz w:val="24"/>
          <w:szCs w:val="24"/>
          <w:vertAlign w:val="superscript"/>
        </w:rPr>
        <w:t>-2</w:t>
      </w:r>
      <w:r>
        <w:rPr>
          <w:rFonts w:ascii="Times New Roman" w:hAnsi="Times New Roman"/>
          <w:sz w:val="24"/>
          <w:szCs w:val="24"/>
        </w:rPr>
        <w:t>) was measured by the total vein length per area, and was calculated using the mean value of the 30 digital images.</w:t>
      </w:r>
    </w:p>
    <w:p>
      <w:pPr>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After photographing the abaxial sides of the leaf squares, thirty digital images with clear adaxial stomata (Figure 1b) were also measured for adaxial stomatal traits with ImageJ software. Adaxial stomatal density (SD</w:t>
      </w:r>
      <w:r>
        <w:rPr>
          <w:rFonts w:ascii="Times New Roman" w:hAnsi="Times New Roman"/>
          <w:sz w:val="24"/>
          <w:szCs w:val="24"/>
          <w:vertAlign w:val="subscript"/>
        </w:rPr>
        <w:t>up</w:t>
      </w:r>
      <w:r>
        <w:rPr>
          <w:rFonts w:ascii="Times New Roman" w:hAnsi="Times New Roman"/>
          <w:sz w:val="24"/>
          <w:szCs w:val="24"/>
        </w:rPr>
        <w:t>, no. mm</w:t>
      </w:r>
      <w:r>
        <w:rPr>
          <w:rFonts w:ascii="Times New Roman" w:hAnsi="Times New Roman"/>
          <w:sz w:val="24"/>
          <w:szCs w:val="24"/>
          <w:vertAlign w:val="superscript"/>
        </w:rPr>
        <w:t>-2</w:t>
      </w:r>
      <w:r>
        <w:rPr>
          <w:rFonts w:ascii="Times New Roman" w:hAnsi="Times New Roman"/>
          <w:sz w:val="24"/>
          <w:szCs w:val="24"/>
        </w:rPr>
        <w:t>) was measured as the number of adaxial stomata per area and was calculated as the mean value of 30 digital images. Adaxial stomatal length (SL</w:t>
      </w:r>
      <w:r>
        <w:rPr>
          <w:rFonts w:ascii="Times New Roman" w:hAnsi="Times New Roman"/>
          <w:sz w:val="24"/>
          <w:szCs w:val="24"/>
          <w:vertAlign w:val="subscript"/>
        </w:rPr>
        <w:t>up</w:t>
      </w:r>
      <w:r>
        <w:rPr>
          <w:rFonts w:ascii="Times New Roman" w:hAnsi="Times New Roman"/>
          <w:sz w:val="24"/>
          <w:szCs w:val="24"/>
        </w:rPr>
        <w:t>, μm) was averaged from 30 randomly selected stomata at each site. The stomatal density (SD, no. mm</w:t>
      </w:r>
      <w:r>
        <w:rPr>
          <w:rFonts w:ascii="Times New Roman" w:hAnsi="Times New Roman"/>
          <w:sz w:val="24"/>
          <w:szCs w:val="24"/>
          <w:vertAlign w:val="superscript"/>
        </w:rPr>
        <w:t>-2</w:t>
      </w:r>
      <w:r>
        <w:rPr>
          <w:rFonts w:ascii="Times New Roman" w:hAnsi="Times New Roman"/>
          <w:sz w:val="24"/>
          <w:szCs w:val="24"/>
        </w:rPr>
        <w:t>) was calculated as the sum of SD</w:t>
      </w:r>
      <w:r>
        <w:rPr>
          <w:rFonts w:ascii="Times New Roman" w:hAnsi="Times New Roman"/>
          <w:sz w:val="24"/>
          <w:szCs w:val="24"/>
          <w:vertAlign w:val="subscript"/>
        </w:rPr>
        <w:t>down</w:t>
      </w:r>
      <w:r>
        <w:rPr>
          <w:rFonts w:ascii="Times New Roman" w:hAnsi="Times New Roman"/>
          <w:sz w:val="24"/>
          <w:szCs w:val="24"/>
        </w:rPr>
        <w:t xml:space="preserve"> and SD</w:t>
      </w:r>
      <w:r>
        <w:rPr>
          <w:rFonts w:ascii="Times New Roman" w:hAnsi="Times New Roman"/>
          <w:sz w:val="24"/>
          <w:szCs w:val="24"/>
          <w:vertAlign w:val="subscript"/>
        </w:rPr>
        <w:t>up</w:t>
      </w:r>
      <w:r>
        <w:rPr>
          <w:rFonts w:ascii="Times New Roman" w:hAnsi="Times New Roman"/>
          <w:sz w:val="24"/>
          <w:szCs w:val="24"/>
        </w:rPr>
        <w:t>. The stomatal length (SL, μm) was determined as the average of SL</w:t>
      </w:r>
      <w:r>
        <w:rPr>
          <w:rFonts w:ascii="Times New Roman" w:hAnsi="Times New Roman"/>
          <w:sz w:val="24"/>
          <w:szCs w:val="24"/>
          <w:vertAlign w:val="subscript"/>
        </w:rPr>
        <w:t>down</w:t>
      </w:r>
      <w:r>
        <w:rPr>
          <w:rFonts w:ascii="Times New Roman" w:hAnsi="Times New Roman"/>
          <w:sz w:val="24"/>
          <w:szCs w:val="24"/>
        </w:rPr>
        <w:t xml:space="preserve"> and SD</w:t>
      </w:r>
      <w:r>
        <w:rPr>
          <w:rFonts w:ascii="Times New Roman" w:hAnsi="Times New Roman"/>
          <w:sz w:val="24"/>
          <w:szCs w:val="24"/>
          <w:vertAlign w:val="subscript"/>
        </w:rPr>
        <w:t>up</w:t>
      </w:r>
      <w:r>
        <w:rPr>
          <w:rFonts w:ascii="Times New Roman" w:hAnsi="Times New Roman"/>
          <w:sz w:val="24"/>
          <w:szCs w:val="24"/>
        </w:rPr>
        <w:t>. The ratios of adaxial stomatal density to the total stomatal density (SD</w:t>
      </w:r>
      <w:r>
        <w:rPr>
          <w:rFonts w:ascii="Times New Roman" w:hAnsi="Times New Roman"/>
          <w:sz w:val="24"/>
          <w:szCs w:val="24"/>
          <w:vertAlign w:val="subscript"/>
        </w:rPr>
        <w:t>up</w:t>
      </w:r>
      <w:r>
        <w:rPr>
          <w:rFonts w:ascii="Times New Roman" w:hAnsi="Times New Roman"/>
          <w:sz w:val="24"/>
          <w:szCs w:val="24"/>
        </w:rPr>
        <w:t>/SD), and the ratios of abaxial stomatal density to the total stomatal density (SD</w:t>
      </w:r>
      <w:r>
        <w:rPr>
          <w:rFonts w:ascii="Times New Roman" w:hAnsi="Times New Roman"/>
          <w:sz w:val="24"/>
          <w:szCs w:val="24"/>
          <w:vertAlign w:val="subscript"/>
        </w:rPr>
        <w:t>down</w:t>
      </w:r>
      <w:r>
        <w:rPr>
          <w:rFonts w:ascii="Times New Roman" w:hAnsi="Times New Roman"/>
          <w:sz w:val="24"/>
          <w:szCs w:val="24"/>
        </w:rPr>
        <w:t>/SD) were also calculated.</w:t>
      </w:r>
    </w:p>
    <w:p>
      <w:pPr>
        <w:spacing w:before="156" w:beforeLines="50" w:after="156" w:afterLines="50" w:line="480" w:lineRule="auto"/>
        <w:rPr>
          <w:rFonts w:ascii="Times New Roman" w:hAnsi="Times New Roman"/>
          <w:b/>
          <w:bCs/>
          <w:sz w:val="24"/>
          <w:szCs w:val="24"/>
        </w:rPr>
      </w:pPr>
      <w:r>
        <w:rPr>
          <w:rFonts w:ascii="Times New Roman" w:hAnsi="Times New Roman"/>
          <w:b/>
          <w:bCs/>
          <w:sz w:val="24"/>
          <w:szCs w:val="24"/>
        </w:rPr>
        <w:t>Data analysis</w:t>
      </w:r>
    </w:p>
    <w:p>
      <w:pPr>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All statistical analyses were performed with the R statistical program (v.3.01; R Development Core Team, Vienna, Austria; available in the website: http://ftp.ctex.org/mirrors/CRAN/). A cluster analysis with the “complete,” “average,” “mcquitty,” and “ward” methods were used to realize the clustering conditions of the sites. Since the cluster analysis divided the sites into two elevational bands, the differences of the detected traits between these bands were analyzed by</w:t>
      </w:r>
      <w:r>
        <w:rPr>
          <w:rFonts w:ascii="Times New Roman" w:hAnsi="Times New Roman"/>
          <w:i/>
          <w:sz w:val="24"/>
          <w:szCs w:val="24"/>
        </w:rPr>
        <w:t xml:space="preserve"> </w:t>
      </w:r>
      <w:r>
        <w:rPr>
          <w:rFonts w:ascii="Times New Roman" w:hAnsi="Times New Roman"/>
          <w:sz w:val="24"/>
          <w:szCs w:val="24"/>
        </w:rPr>
        <w:t xml:space="preserve">independent sample </w:t>
      </w:r>
      <w:r>
        <w:rPr>
          <w:rFonts w:ascii="Times New Roman" w:hAnsi="Times New Roman"/>
          <w:i/>
          <w:sz w:val="24"/>
          <w:szCs w:val="24"/>
        </w:rPr>
        <w:t>t</w:t>
      </w:r>
      <w:r>
        <w:rPr>
          <w:rFonts w:ascii="Times New Roman" w:hAnsi="Times New Roman"/>
          <w:sz w:val="24"/>
          <w:szCs w:val="24"/>
        </w:rPr>
        <w:t xml:space="preserve">-tests. Pearson-bivariate correlations were used to explore the variations of leaf traits along the elevational gradient and with environmental factors. Correlation between vein density and stomatal density traits were also detected by Pearson-bivariate correlations. Statistically significant level was </w:t>
      </w:r>
      <w:r>
        <w:rPr>
          <w:rFonts w:ascii="Times New Roman" w:hAnsi="Times New Roman"/>
          <w:i/>
          <w:sz w:val="24"/>
          <w:szCs w:val="24"/>
        </w:rPr>
        <w:t>p</w:t>
      </w:r>
      <w:r>
        <w:rPr>
          <w:rFonts w:ascii="Times New Roman" w:hAnsi="Times New Roman"/>
          <w:sz w:val="24"/>
          <w:szCs w:val="24"/>
        </w:rPr>
        <w:t>&lt;0.05.</w:t>
      </w:r>
    </w:p>
    <w:p>
      <w:pPr>
        <w:spacing w:before="156" w:beforeLines="50" w:after="156" w:afterLines="50" w:line="480" w:lineRule="auto"/>
        <w:rPr>
          <w:rFonts w:ascii="Times New Roman" w:hAnsi="Times New Roman"/>
          <w:b/>
          <w:sz w:val="24"/>
          <w:szCs w:val="24"/>
        </w:rPr>
      </w:pPr>
      <w:r>
        <w:rPr>
          <w:rFonts w:ascii="Times New Roman" w:hAnsi="Times New Roman"/>
          <w:b/>
          <w:sz w:val="24"/>
          <w:szCs w:val="24"/>
        </w:rPr>
        <w:t>Results</w:t>
      </w:r>
    </w:p>
    <w:p>
      <w:pPr>
        <w:spacing w:before="156" w:beforeLines="50" w:after="156" w:afterLines="50" w:line="480" w:lineRule="auto"/>
        <w:rPr>
          <w:rFonts w:ascii="Times New Roman" w:hAnsi="Times New Roman"/>
          <w:b/>
          <w:iCs/>
          <w:sz w:val="24"/>
          <w:szCs w:val="24"/>
        </w:rPr>
      </w:pPr>
      <w:r>
        <w:rPr>
          <w:rFonts w:ascii="Times New Roman" w:hAnsi="Times New Roman"/>
          <w:b/>
          <w:iCs/>
          <w:sz w:val="24"/>
          <w:szCs w:val="24"/>
        </w:rPr>
        <w:t>Variations of vein and stomatal traits</w:t>
      </w:r>
    </w:p>
    <w:p>
      <w:pPr>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 xml:space="preserve">The data from the nine sampling sites were divided into two groups based on the cluster analyses of vein and stomatal traits. The first group included the four sites at the lowest elevations (2287, 2390, 2542 and 2720 m) and the two sites at the upper elevations (3157 and 3373 m); the second group included the three sites in the middle elevations (2790, 2931 and 3005 m) (Figure 2). </w:t>
      </w:r>
      <w:bookmarkStart w:id="25" w:name="OLE_LINK59"/>
      <w:bookmarkStart w:id="26" w:name="OLE_LINK60"/>
      <w:r>
        <w:rPr>
          <w:rFonts w:ascii="Times New Roman" w:hAnsi="Times New Roman"/>
          <w:sz w:val="24"/>
          <w:szCs w:val="24"/>
        </w:rPr>
        <w:t>Consistent with</w:t>
      </w:r>
      <w:bookmarkEnd w:id="25"/>
      <w:bookmarkEnd w:id="26"/>
      <w:r>
        <w:rPr>
          <w:rFonts w:ascii="Times New Roman" w:hAnsi="Times New Roman"/>
          <w:sz w:val="24"/>
          <w:szCs w:val="24"/>
        </w:rPr>
        <w:t xml:space="preserve"> the results obtained from the cluster analysis, the values for the tested traits in the plants at the lowest elevations were similar to those at the upper elevations. The lower and upper elevational bands had significantly higher values of SD, SD</w:t>
      </w:r>
      <w:r>
        <w:rPr>
          <w:rFonts w:ascii="Times New Roman" w:hAnsi="Times New Roman"/>
          <w:sz w:val="24"/>
          <w:szCs w:val="24"/>
          <w:vertAlign w:val="subscript"/>
        </w:rPr>
        <w:t>up</w:t>
      </w:r>
      <w:r>
        <w:rPr>
          <w:rFonts w:ascii="Times New Roman" w:hAnsi="Times New Roman"/>
          <w:sz w:val="24"/>
          <w:szCs w:val="24"/>
        </w:rPr>
        <w:t>/SD, and VD, but lower values of SD</w:t>
      </w:r>
      <w:r>
        <w:rPr>
          <w:rFonts w:ascii="Times New Roman" w:hAnsi="Times New Roman"/>
          <w:sz w:val="24"/>
          <w:szCs w:val="24"/>
          <w:vertAlign w:val="subscript"/>
        </w:rPr>
        <w:t>down</w:t>
      </w:r>
      <w:r>
        <w:rPr>
          <w:rFonts w:ascii="Times New Roman" w:hAnsi="Times New Roman"/>
          <w:sz w:val="24"/>
          <w:szCs w:val="24"/>
        </w:rPr>
        <w:t>/SD and SL compared with the middle elevational band (Figure 3).</w:t>
      </w:r>
    </w:p>
    <w:p>
      <w:pPr>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Variations of stomatal and vein traits in this study were mainly influenced by temperature and ultraviolet-B radiation; precipitation and air relative humidity had limited effect on the stomatal and vein traits. SD, SD</w:t>
      </w:r>
      <w:r>
        <w:rPr>
          <w:rFonts w:ascii="Times New Roman" w:hAnsi="Times New Roman"/>
          <w:sz w:val="24"/>
          <w:szCs w:val="24"/>
          <w:vertAlign w:val="subscript"/>
        </w:rPr>
        <w:t>up</w:t>
      </w:r>
      <w:r>
        <w:rPr>
          <w:rFonts w:ascii="Times New Roman" w:hAnsi="Times New Roman"/>
          <w:sz w:val="24"/>
          <w:szCs w:val="24"/>
        </w:rPr>
        <w:t>/SD, and VD were significantly positive correlated with MAT, but SD</w:t>
      </w:r>
      <w:r>
        <w:rPr>
          <w:rFonts w:ascii="Times New Roman" w:hAnsi="Times New Roman"/>
          <w:sz w:val="24"/>
          <w:szCs w:val="24"/>
          <w:vertAlign w:val="subscript"/>
        </w:rPr>
        <w:t>down</w:t>
      </w:r>
      <w:r>
        <w:rPr>
          <w:rFonts w:ascii="Times New Roman" w:hAnsi="Times New Roman"/>
          <w:sz w:val="24"/>
          <w:szCs w:val="24"/>
        </w:rPr>
        <w:t>/SD and SL were significantly negatively correlated with MAT (Figure 4). SD and SD</w:t>
      </w:r>
      <w:r>
        <w:rPr>
          <w:rFonts w:ascii="Times New Roman" w:hAnsi="Times New Roman"/>
          <w:sz w:val="24"/>
          <w:szCs w:val="24"/>
          <w:vertAlign w:val="subscript"/>
        </w:rPr>
        <w:t>up</w:t>
      </w:r>
      <w:r>
        <w:rPr>
          <w:rFonts w:ascii="Times New Roman" w:hAnsi="Times New Roman"/>
          <w:sz w:val="24"/>
          <w:szCs w:val="24"/>
        </w:rPr>
        <w:t>/SD were negatively correlated with UV-B, but SD</w:t>
      </w:r>
      <w:r>
        <w:rPr>
          <w:rFonts w:ascii="Times New Roman" w:hAnsi="Times New Roman"/>
          <w:sz w:val="24"/>
          <w:szCs w:val="24"/>
          <w:vertAlign w:val="subscript"/>
        </w:rPr>
        <w:t>down</w:t>
      </w:r>
      <w:r>
        <w:rPr>
          <w:rFonts w:ascii="Times New Roman" w:hAnsi="Times New Roman"/>
          <w:sz w:val="24"/>
          <w:szCs w:val="24"/>
        </w:rPr>
        <w:t>/SD was positively correlated with UV-B (Figure 4).</w:t>
      </w:r>
    </w:p>
    <w:p>
      <w:pPr>
        <w:spacing w:before="156" w:beforeLines="50" w:after="156" w:afterLines="50" w:line="480" w:lineRule="auto"/>
        <w:rPr>
          <w:rFonts w:ascii="Times New Roman" w:hAnsi="Times New Roman"/>
          <w:b/>
          <w:iCs/>
          <w:sz w:val="24"/>
          <w:szCs w:val="24"/>
        </w:rPr>
      </w:pPr>
      <w:r>
        <w:rPr>
          <w:rFonts w:ascii="Times New Roman" w:hAnsi="Times New Roman"/>
          <w:b/>
          <w:iCs/>
          <w:sz w:val="24"/>
          <w:szCs w:val="24"/>
        </w:rPr>
        <w:t>Correlations between stomatal density traits and vein density</w:t>
      </w:r>
    </w:p>
    <w:p>
      <w:pPr>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 xml:space="preserve">The </w:t>
      </w:r>
      <w:r>
        <w:rPr>
          <w:rFonts w:ascii="Times New Roman" w:hAnsi="Times New Roman"/>
          <w:i/>
          <w:sz w:val="24"/>
          <w:szCs w:val="24"/>
        </w:rPr>
        <w:t>SD</w:t>
      </w:r>
      <w:r>
        <w:rPr>
          <w:rFonts w:ascii="Times New Roman" w:hAnsi="Times New Roman"/>
          <w:sz w:val="24"/>
          <w:szCs w:val="24"/>
        </w:rPr>
        <w:t xml:space="preserve"> and </w:t>
      </w:r>
      <w:r>
        <w:rPr>
          <w:rFonts w:ascii="Times New Roman" w:hAnsi="Times New Roman"/>
          <w:i/>
          <w:sz w:val="24"/>
          <w:szCs w:val="24"/>
        </w:rPr>
        <w:t>VD</w:t>
      </w:r>
      <w:r>
        <w:rPr>
          <w:rFonts w:ascii="Times New Roman" w:hAnsi="Times New Roman"/>
          <w:sz w:val="24"/>
          <w:szCs w:val="24"/>
        </w:rPr>
        <w:t xml:space="preserve"> showed a significantly positive correlation across all the collecting sites (Figure 5). </w:t>
      </w:r>
      <w:r>
        <w:rPr>
          <w:rFonts w:ascii="Times New Roman" w:hAnsi="Times New Roman"/>
          <w:i/>
          <w:sz w:val="24"/>
          <w:szCs w:val="24"/>
        </w:rPr>
        <w:t>SD</w:t>
      </w:r>
      <w:r>
        <w:rPr>
          <w:rFonts w:ascii="Times New Roman" w:hAnsi="Times New Roman"/>
          <w:sz w:val="24"/>
          <w:szCs w:val="24"/>
          <w:vertAlign w:val="subscript"/>
        </w:rPr>
        <w:t>up</w:t>
      </w:r>
      <w:r>
        <w:rPr>
          <w:rFonts w:ascii="Times New Roman" w:hAnsi="Times New Roman"/>
          <w:sz w:val="24"/>
          <w:szCs w:val="24"/>
        </w:rPr>
        <w:t>/</w:t>
      </w:r>
      <w:r>
        <w:rPr>
          <w:rFonts w:ascii="Times New Roman" w:hAnsi="Times New Roman"/>
          <w:i/>
          <w:sz w:val="24"/>
          <w:szCs w:val="24"/>
        </w:rPr>
        <w:t>SD</w:t>
      </w:r>
      <w:r>
        <w:rPr>
          <w:rFonts w:ascii="Times New Roman" w:hAnsi="Times New Roman"/>
          <w:sz w:val="24"/>
          <w:szCs w:val="24"/>
        </w:rPr>
        <w:t xml:space="preserve"> was also significantly positively correlated with </w:t>
      </w:r>
      <w:r>
        <w:rPr>
          <w:rFonts w:ascii="Times New Roman" w:hAnsi="Times New Roman"/>
          <w:i/>
          <w:sz w:val="24"/>
          <w:szCs w:val="24"/>
        </w:rPr>
        <w:t>VD</w:t>
      </w:r>
      <w:r>
        <w:rPr>
          <w:rFonts w:ascii="Times New Roman" w:hAnsi="Times New Roman"/>
          <w:sz w:val="24"/>
          <w:szCs w:val="24"/>
        </w:rPr>
        <w:t xml:space="preserve">, while </w:t>
      </w:r>
      <w:r>
        <w:rPr>
          <w:rFonts w:ascii="Times New Roman" w:hAnsi="Times New Roman"/>
          <w:i/>
          <w:sz w:val="24"/>
          <w:szCs w:val="24"/>
        </w:rPr>
        <w:t>SD</w:t>
      </w:r>
      <w:r>
        <w:rPr>
          <w:rFonts w:ascii="Times New Roman" w:hAnsi="Times New Roman"/>
          <w:sz w:val="24"/>
          <w:szCs w:val="24"/>
          <w:vertAlign w:val="subscript"/>
        </w:rPr>
        <w:t>down</w:t>
      </w:r>
      <w:r>
        <w:rPr>
          <w:rFonts w:ascii="Times New Roman" w:hAnsi="Times New Roman"/>
          <w:sz w:val="24"/>
          <w:szCs w:val="24"/>
        </w:rPr>
        <w:t>/</w:t>
      </w:r>
      <w:r>
        <w:rPr>
          <w:rFonts w:ascii="Times New Roman" w:hAnsi="Times New Roman"/>
          <w:i/>
          <w:sz w:val="24"/>
          <w:szCs w:val="24"/>
        </w:rPr>
        <w:t>SD</w:t>
      </w:r>
      <w:r>
        <w:rPr>
          <w:rFonts w:ascii="Times New Roman" w:hAnsi="Times New Roman"/>
          <w:sz w:val="24"/>
          <w:szCs w:val="24"/>
        </w:rPr>
        <w:t xml:space="preserve"> was negatively correlated with </w:t>
      </w:r>
      <w:r>
        <w:rPr>
          <w:rFonts w:ascii="Times New Roman" w:hAnsi="Times New Roman"/>
          <w:i/>
          <w:sz w:val="24"/>
          <w:szCs w:val="24"/>
        </w:rPr>
        <w:t>VD</w:t>
      </w:r>
      <w:r>
        <w:rPr>
          <w:rFonts w:ascii="Times New Roman" w:hAnsi="Times New Roman"/>
          <w:sz w:val="24"/>
          <w:szCs w:val="24"/>
        </w:rPr>
        <w:t xml:space="preserve"> (Figure 5).</w:t>
      </w:r>
    </w:p>
    <w:p>
      <w:pPr>
        <w:tabs>
          <w:tab w:val="left" w:pos="6958"/>
        </w:tabs>
        <w:spacing w:before="156" w:beforeLines="50" w:after="156" w:afterLines="50" w:line="480" w:lineRule="auto"/>
        <w:rPr>
          <w:rFonts w:ascii="Times New Roman" w:hAnsi="Times New Roman"/>
          <w:b/>
          <w:sz w:val="24"/>
          <w:szCs w:val="24"/>
        </w:rPr>
      </w:pPr>
      <w:r>
        <w:rPr>
          <w:rFonts w:ascii="Times New Roman" w:hAnsi="Times New Roman"/>
          <w:b/>
          <w:sz w:val="24"/>
          <w:szCs w:val="24"/>
        </w:rPr>
        <w:t>Discussion</w:t>
      </w:r>
    </w:p>
    <w:p>
      <w:pPr>
        <w:tabs>
          <w:tab w:val="left" w:pos="6958"/>
        </w:tabs>
        <w:spacing w:before="156" w:beforeLines="50" w:after="156" w:afterLines="50" w:line="480" w:lineRule="auto"/>
        <w:rPr>
          <w:rFonts w:ascii="Times New Roman" w:hAnsi="Times New Roman"/>
          <w:b/>
          <w:iCs/>
          <w:sz w:val="24"/>
          <w:szCs w:val="24"/>
        </w:rPr>
      </w:pPr>
      <w:r>
        <w:rPr>
          <w:rFonts w:ascii="Times New Roman" w:hAnsi="Times New Roman"/>
          <w:b/>
          <w:iCs/>
          <w:sz w:val="24"/>
          <w:szCs w:val="24"/>
        </w:rPr>
        <w:t>Adaptive patterns of vein and stomatal traits with elevations</w:t>
      </w:r>
    </w:p>
    <w:p>
      <w:pPr>
        <w:tabs>
          <w:tab w:val="left" w:pos="6958"/>
        </w:tabs>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 xml:space="preserve">Functional traits affect plant performance, plant fitness, and overall survival in a given environment (Blonder and Enquist 2014). For example, a previous study conducted on 22 species growing at an elevation range of 700 to 1,800 m a.s.l. in the northern Alps showed that most of the species had an increase in stomatal densities (Bucher et al. 2016). Moreover, in </w:t>
      </w:r>
      <w:r>
        <w:rPr>
          <w:rFonts w:ascii="Times New Roman" w:hAnsi="Times New Roman"/>
          <w:i/>
          <w:sz w:val="24"/>
          <w:szCs w:val="24"/>
        </w:rPr>
        <w:t>Arabidopsis thaliana</w:t>
      </w:r>
      <w:r>
        <w:rPr>
          <w:rFonts w:ascii="Times New Roman" w:hAnsi="Times New Roman"/>
          <w:sz w:val="24"/>
          <w:szCs w:val="24"/>
        </w:rPr>
        <w:t>, both stomatal density and size increased with the increasing elevation (ranging from 50 to 1,260 m a.s.l.) (Caldera et al. 2016). The stomatal density of 150 woody plant species initially increased and then decreased, while elevation-related differences in stomatal size were not statistically significant in the Changbai Mountain, China (Wang et al. 2014). These inconsistent results might be due to species-specific adaptations and/or different study sites. Plant species has genetic homeostasis in limited range of distribution and velocity of tolerance to environmental changes (Corlett and Westcott 2013). The variations in environmental factors along an elevational gradient may be different in different regions.</w:t>
      </w:r>
    </w:p>
    <w:p>
      <w:pPr>
        <w:tabs>
          <w:tab w:val="left" w:pos="6958"/>
        </w:tabs>
        <w:spacing w:before="156" w:beforeLines="50" w:after="156" w:afterLines="50" w:line="480" w:lineRule="auto"/>
        <w:rPr>
          <w:rFonts w:ascii="Times New Roman" w:hAnsi="Times New Roman"/>
          <w:b/>
          <w:iCs/>
          <w:sz w:val="24"/>
          <w:szCs w:val="24"/>
        </w:rPr>
      </w:pPr>
      <w:r>
        <w:rPr>
          <w:rFonts w:ascii="Times New Roman" w:hAnsi="Times New Roman"/>
          <w:b/>
          <w:iCs/>
          <w:sz w:val="24"/>
          <w:szCs w:val="24"/>
        </w:rPr>
        <w:t>Effects of environmental factors on vein and stomatal traits</w:t>
      </w:r>
    </w:p>
    <w:p>
      <w:pPr>
        <w:tabs>
          <w:tab w:val="left" w:pos="6958"/>
        </w:tabs>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Temperature and UV-B were the two key factors influencing stomatal and vein traits (Figure 4), indicating the major role of temperature and UV-B in the adaptation and distribution of O. sinensis in the Hengduan Mountains. External conditions strongly shaping vein and stomatal traits along elevational gradients (Hill et al. 2014; Bucher et al. 2016). Our findings suggested that O. sinensis along this elevation gradient have variable water transporting capacities due to temperature and UV-B radiation. Among our study sites, MAT typically decreased with the increasing elevation and UV-B radiation was generally more intense at higher elevations (Table 1). Because MAT and UV-B radiation are the major factors determining the performance of vein and stomatal traits in our study (Figure 4), lower SD, SD</w:t>
      </w:r>
      <w:r>
        <w:rPr>
          <w:rFonts w:ascii="Times New Roman" w:hAnsi="Times New Roman"/>
          <w:sz w:val="24"/>
          <w:szCs w:val="24"/>
          <w:vertAlign w:val="subscript"/>
        </w:rPr>
        <w:t>up</w:t>
      </w:r>
      <w:r>
        <w:rPr>
          <w:rFonts w:ascii="Times New Roman" w:hAnsi="Times New Roman"/>
          <w:sz w:val="24"/>
          <w:szCs w:val="24"/>
        </w:rPr>
        <w:t>/SD and VD, and higher SD</w:t>
      </w:r>
      <w:r>
        <w:rPr>
          <w:rFonts w:ascii="Times New Roman" w:hAnsi="Times New Roman"/>
          <w:sz w:val="24"/>
          <w:szCs w:val="24"/>
          <w:vertAlign w:val="subscript"/>
        </w:rPr>
        <w:t>up</w:t>
      </w:r>
      <w:r>
        <w:rPr>
          <w:rFonts w:ascii="Times New Roman" w:hAnsi="Times New Roman"/>
          <w:sz w:val="24"/>
          <w:szCs w:val="24"/>
        </w:rPr>
        <w:t xml:space="preserve">/SD and SL suggested the adaptive strategies of O. sinensis to lower temperatures and higher UV-B intensities at the higher elevations. Lower temperatures decrease the water flow and higher solar radiation may cause transpiration loss, which together may induce a water deficit (Hovenden and Brodribb 2000; Guo </w:t>
      </w:r>
      <w:r>
        <w:rPr>
          <w:rFonts w:ascii="Times New Roman" w:hAnsi="Times New Roman"/>
          <w:iCs/>
          <w:sz w:val="24"/>
          <w:szCs w:val="24"/>
        </w:rPr>
        <w:t>et al</w:t>
      </w:r>
      <w:r>
        <w:rPr>
          <w:rFonts w:ascii="Times New Roman" w:hAnsi="Times New Roman"/>
          <w:sz w:val="24"/>
          <w:szCs w:val="24"/>
        </w:rPr>
        <w:t xml:space="preserve">. 2013). Thus, the fluctuations of stomatal density, </w:t>
      </w:r>
      <w:bookmarkStart w:id="27" w:name="OLE_LINK3"/>
      <w:bookmarkStart w:id="28" w:name="OLE_LINK7"/>
      <w:r>
        <w:rPr>
          <w:rFonts w:ascii="Times New Roman" w:hAnsi="Times New Roman"/>
          <w:sz w:val="24"/>
          <w:szCs w:val="24"/>
        </w:rPr>
        <w:t>adaxial stomatal density, and vein density</w:t>
      </w:r>
      <w:bookmarkEnd w:id="27"/>
      <w:bookmarkEnd w:id="28"/>
      <w:r>
        <w:rPr>
          <w:rFonts w:ascii="Times New Roman" w:hAnsi="Times New Roman"/>
          <w:sz w:val="24"/>
          <w:szCs w:val="24"/>
        </w:rPr>
        <w:t xml:space="preserve"> may reflect the enhanced capacity by plants to adapt to water deficits at higher elevations.</w:t>
      </w:r>
    </w:p>
    <w:p>
      <w:pPr>
        <w:tabs>
          <w:tab w:val="left" w:pos="6958"/>
        </w:tabs>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The lower stomatal density, adaxial stomatal density, and vein density at lower temperatures and higher UV-B radiations may be attributed to two factors. First, colder temperatures and stronger solar radiation might affect the development of leaf anatomy because lower temperature and stronger radiation might limit cell or leaf expansion, especially in high mountain regions (Sack et al. 2012). Leaf expansion occurs over both a slow phase and a rapid phase of growth (Sack et al. 2012). Substantial leaf expansion of O. sinensis may continue after most of its stomatal and vein procambium is formed, thus limited leaf expansion during the rapid phase could induce greater stomatal and vein densities. A second possible reason is that increased evaporative demand might induce acclimation of plants to higher temperatures. More adaxial stomata and veins shorten the distance between stomata and veins, thus accelerating the cooling by efficient water flow and corresponding evaporative water loss (Brodribb et al. 2007). However, in this process, abaxial stomata density decreased, indicating an energy balance. Plant species might input a consistent amount of energy to produce stomata, thus the increase of the abaxial stomatal density should correspond to the decrease of adaxial stomatal density at higher elevations.</w:t>
      </w:r>
    </w:p>
    <w:p>
      <w:pPr>
        <w:tabs>
          <w:tab w:val="left" w:pos="6958"/>
        </w:tabs>
        <w:spacing w:before="156" w:beforeLines="50" w:after="156" w:afterLines="50" w:line="480" w:lineRule="auto"/>
        <w:rPr>
          <w:rFonts w:ascii="Times New Roman" w:hAnsi="Times New Roman"/>
          <w:b/>
          <w:iCs/>
          <w:sz w:val="24"/>
          <w:szCs w:val="24"/>
        </w:rPr>
      </w:pPr>
      <w:r>
        <w:rPr>
          <w:rFonts w:ascii="Times New Roman" w:hAnsi="Times New Roman"/>
          <w:b/>
          <w:iCs/>
          <w:sz w:val="24"/>
          <w:szCs w:val="24"/>
        </w:rPr>
        <w:t>The water balance along elevations</w:t>
      </w:r>
    </w:p>
    <w:p>
      <w:pPr>
        <w:tabs>
          <w:tab w:val="left" w:pos="6958"/>
        </w:tabs>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The SD and SD</w:t>
      </w:r>
      <w:r>
        <w:rPr>
          <w:rFonts w:ascii="Times New Roman" w:hAnsi="Times New Roman"/>
          <w:sz w:val="24"/>
          <w:szCs w:val="24"/>
          <w:vertAlign w:val="subscript"/>
        </w:rPr>
        <w:t>up</w:t>
      </w:r>
      <w:r>
        <w:rPr>
          <w:rFonts w:ascii="Times New Roman" w:hAnsi="Times New Roman"/>
          <w:sz w:val="24"/>
          <w:szCs w:val="24"/>
        </w:rPr>
        <w:t>/SD were positively correlated with VD across all the collecting sites (Figure 5), suggesting that the capacity of leaf water transport in O. sinensis was sufficient to match potential transpirational demands along elevations (Brodribb et al. 2013; Hu et al. 2014). The homeostatic balance between the liquid and gas phase of hydraulic conductance can be achieved by a close coupling of VD and SD</w:t>
      </w:r>
      <w:r>
        <w:rPr>
          <w:rFonts w:ascii="Times New Roman" w:hAnsi="Times New Roman"/>
          <w:sz w:val="24"/>
          <w:szCs w:val="24"/>
          <w:vertAlign w:val="subscript"/>
        </w:rPr>
        <w:t>up</w:t>
      </w:r>
      <w:r>
        <w:rPr>
          <w:rFonts w:ascii="Times New Roman" w:hAnsi="Times New Roman"/>
          <w:sz w:val="24"/>
          <w:szCs w:val="24"/>
        </w:rPr>
        <w:t xml:space="preserve"> along an elevational gradient (Brodribb and Jordan 2011). Higher stomatal conductance enables higher rates of carbon assimilation (Brodribb et al. 2007); selecting against plants with certain water-use or carbon-gain strategies could result in environmental filtering on a suite of venation network traits. Therefore, covariation between venation and stomata plays an important role in optimizing the trade-off between photosynthetic benefit and evaporative cost (Feild et al. 2011).</w:t>
      </w:r>
    </w:p>
    <w:p>
      <w:pPr>
        <w:tabs>
          <w:tab w:val="left" w:pos="6958"/>
        </w:tabs>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Environmental changes across the studied elevations may affect the correlation between vein and stomatal densities. Along the elevation gradient in the Hengduan Mountains that we selected for our study site, the higher transpiration potentially induced by higher temperature is likely one of the main factors by which leaf temperature is decreased, sustaining enzyme activity and maintaining leaf physiological functions. This could explain why high temperature drives plants to increase vein and stomatal densities. Higher vein density indicates that leaf vascular structures can connect to more mesophyll cells (Sack and Frole 2006), whereas a higher stomatal density</w:t>
      </w:r>
      <w:r>
        <w:rPr>
          <w:rFonts w:ascii="Times New Roman" w:hAnsi="Times New Roman"/>
          <w:sz w:val="24"/>
          <w:szCs w:val="24"/>
          <w:vertAlign w:val="subscript"/>
        </w:rPr>
        <w:t xml:space="preserve"> </w:t>
      </w:r>
      <w:r>
        <w:rPr>
          <w:rFonts w:ascii="Times New Roman" w:hAnsi="Times New Roman"/>
          <w:sz w:val="24"/>
          <w:szCs w:val="24"/>
        </w:rPr>
        <w:t>means that leaves has more transpiration sites, especially on the adaxial surface (Franks and Beerling 2009). Higher vein and stomatal densities can decrease the distance over which water is transmitted from venation to stomata, and improve leaf hydraulic conductance and the transpiration rate (Brodribb et al. 2007; Franks and Beerling 2009).</w:t>
      </w:r>
    </w:p>
    <w:p>
      <w:pPr>
        <w:tabs>
          <w:tab w:val="left" w:pos="6958"/>
        </w:tabs>
        <w:spacing w:before="156" w:beforeLines="50" w:after="156" w:afterLines="50" w:line="480" w:lineRule="auto"/>
        <w:rPr>
          <w:rFonts w:ascii="Times New Roman" w:hAnsi="Times New Roman"/>
          <w:b/>
          <w:iCs/>
          <w:sz w:val="24"/>
          <w:szCs w:val="24"/>
        </w:rPr>
      </w:pPr>
      <w:r>
        <w:rPr>
          <w:rFonts w:ascii="Times New Roman" w:hAnsi="Times New Roman"/>
          <w:b/>
          <w:iCs/>
          <w:sz w:val="24"/>
          <w:szCs w:val="24"/>
        </w:rPr>
        <w:t>Implications of potential elevational distributions</w:t>
      </w:r>
    </w:p>
    <w:p>
      <w:pPr>
        <w:tabs>
          <w:tab w:val="left" w:pos="6958"/>
        </w:tabs>
        <w:spacing w:before="156" w:beforeLines="50" w:after="156" w:afterLines="50" w:line="480" w:lineRule="auto"/>
        <w:ind w:firstLine="480" w:firstLineChars="200"/>
        <w:rPr>
          <w:rFonts w:ascii="Times New Roman" w:hAnsi="Times New Roman"/>
          <w:sz w:val="24"/>
          <w:szCs w:val="24"/>
        </w:rPr>
      </w:pPr>
      <w:r>
        <w:rPr>
          <w:rFonts w:ascii="Times New Roman" w:hAnsi="Times New Roman"/>
          <w:sz w:val="24"/>
          <w:szCs w:val="24"/>
        </w:rPr>
        <w:t xml:space="preserve">The selected sites covered the entire elevational distribution of </w:t>
      </w:r>
      <w:bookmarkStart w:id="29" w:name="OLE_LINK11"/>
      <w:bookmarkStart w:id="30" w:name="OLE_LINK4"/>
      <w:r>
        <w:rPr>
          <w:rFonts w:ascii="Times New Roman" w:hAnsi="Times New Roman"/>
          <w:sz w:val="24"/>
          <w:szCs w:val="24"/>
        </w:rPr>
        <w:t>O. sinensis</w:t>
      </w:r>
      <w:bookmarkEnd w:id="29"/>
      <w:bookmarkEnd w:id="30"/>
      <w:r>
        <w:rPr>
          <w:rFonts w:ascii="Times New Roman" w:hAnsi="Times New Roman"/>
          <w:sz w:val="24"/>
          <w:szCs w:val="24"/>
        </w:rPr>
        <w:t>,</w:t>
      </w:r>
      <w:r>
        <w:rPr>
          <w:rFonts w:ascii="Times New Roman" w:hAnsi="Times New Roman"/>
          <w:iCs/>
          <w:sz w:val="24"/>
          <w:szCs w:val="24"/>
        </w:rPr>
        <w:t xml:space="preserve"> </w:t>
      </w:r>
      <w:r>
        <w:rPr>
          <w:rFonts w:ascii="Times New Roman" w:hAnsi="Times New Roman"/>
          <w:sz w:val="24"/>
          <w:szCs w:val="24"/>
        </w:rPr>
        <w:t xml:space="preserve">representing almost all of the environmental conditions of this species in the central Hengduan Mountains (Wu and Chen 2000). The significant variability in stomatal and vein traits reflected their plasticity, and our findings demonstrated their important roles in the adaptability of this species to alpine environments (Sun et al. 2016). The temperature has increased 14.9% in the central Hengduan Mountains from 1958, showing a significantly faster rate of temperature increase than other parts of Yunnan Province, China (Fan </w:t>
      </w:r>
      <w:r>
        <w:rPr>
          <w:rFonts w:ascii="Times New Roman" w:hAnsi="Times New Roman"/>
          <w:iCs/>
          <w:sz w:val="24"/>
          <w:szCs w:val="24"/>
        </w:rPr>
        <w:t>et</w:t>
      </w:r>
      <w:r>
        <w:rPr>
          <w:rFonts w:ascii="Times New Roman" w:hAnsi="Times New Roman"/>
          <w:sz w:val="24"/>
          <w:szCs w:val="24"/>
        </w:rPr>
        <w:t xml:space="preserve"> </w:t>
      </w:r>
      <w:r>
        <w:rPr>
          <w:rFonts w:ascii="Times New Roman" w:hAnsi="Times New Roman"/>
          <w:iCs/>
          <w:sz w:val="24"/>
          <w:szCs w:val="24"/>
        </w:rPr>
        <w:t>al</w:t>
      </w:r>
      <w:r>
        <w:rPr>
          <w:rFonts w:ascii="Times New Roman" w:hAnsi="Times New Roman"/>
          <w:sz w:val="24"/>
          <w:szCs w:val="24"/>
        </w:rPr>
        <w:t xml:space="preserve">. 2008, 2010; Zhang </w:t>
      </w:r>
      <w:r>
        <w:rPr>
          <w:rFonts w:ascii="Times New Roman" w:hAnsi="Times New Roman"/>
          <w:iCs/>
          <w:sz w:val="24"/>
          <w:szCs w:val="24"/>
        </w:rPr>
        <w:t>et al</w:t>
      </w:r>
      <w:r>
        <w:rPr>
          <w:rFonts w:ascii="Times New Roman" w:hAnsi="Times New Roman"/>
          <w:sz w:val="24"/>
          <w:szCs w:val="24"/>
        </w:rPr>
        <w:t>. 2014a). Because of this climate warming, many alpine species have had to "move up the mountain," meaning that their range has expanded to higher elevations (Moseley 2006; Duputié et al. 2011). As an herbaceous species that has a wide distribution over an elevational gradient, O. sinensis</w:t>
      </w:r>
      <w:r>
        <w:rPr>
          <w:rFonts w:ascii="Times New Roman" w:hAnsi="Times New Roman"/>
          <w:iCs/>
          <w:sz w:val="24"/>
          <w:szCs w:val="24"/>
        </w:rPr>
        <w:t xml:space="preserve"> responded strongly to temperature variations, thus </w:t>
      </w:r>
      <w:r>
        <w:rPr>
          <w:rFonts w:ascii="Times New Roman" w:hAnsi="Times New Roman"/>
          <w:sz w:val="24"/>
          <w:szCs w:val="24"/>
        </w:rPr>
        <w:t>may also expand to higher elevations in this region. Given significant plasticity, the vein and stomatal traits examined here should contribute to the adaptations at higher elevations when the upper limit of this species moves further up the mountain. Moreover, from a phylogenetic perspective, adaptation to a new habitat can be described as an anagenetic habitat shift. However, in many cases, habitat changes will not affect all populations of a given taxon equally (Harte et al. 2004). Some populations might remain within the ancestral environment while others may face more drastic changes (Bellard et al. 2012). As a result, some daughter taxa will not shift habitats while others will, thereby undergoing a cladogenetic habitat shift.</w:t>
      </w:r>
    </w:p>
    <w:p>
      <w:pPr>
        <w:widowControl/>
        <w:spacing w:line="480" w:lineRule="auto"/>
        <w:jc w:val="left"/>
        <w:rPr>
          <w:rFonts w:ascii="Times New Roman" w:hAnsi="Times New Roman"/>
          <w:b/>
          <w:sz w:val="24"/>
          <w:szCs w:val="24"/>
        </w:rPr>
      </w:pPr>
      <w:r>
        <w:rPr>
          <w:rFonts w:ascii="Times New Roman" w:hAnsi="Times New Roman"/>
          <w:b/>
          <w:bCs/>
          <w:color w:val="000000"/>
          <w:kern w:val="0"/>
          <w:sz w:val="24"/>
          <w:szCs w:val="24"/>
          <w:lang w:bidi="ar"/>
        </w:rPr>
        <w:t xml:space="preserve">Acknowledgements </w:t>
      </w:r>
    </w:p>
    <w:p>
      <w:pPr>
        <w:tabs>
          <w:tab w:val="left" w:pos="6958"/>
        </w:tabs>
        <w:spacing w:before="156" w:beforeLines="50" w:after="156" w:afterLines="50" w:line="480" w:lineRule="auto"/>
        <w:rPr>
          <w:rFonts w:ascii="Times New Roman" w:hAnsi="Times New Roman"/>
          <w:sz w:val="24"/>
          <w:szCs w:val="24"/>
        </w:rPr>
      </w:pPr>
      <w:r>
        <w:rPr>
          <w:rFonts w:ascii="Times New Roman" w:hAnsi="Times New Roman"/>
          <w:sz w:val="24"/>
          <w:szCs w:val="24"/>
        </w:rPr>
        <w:t>This study was supported by the National Natural Science Foundation of China (31760115), the Science Research Foundation of Educational Depertment of Yunnan Province (2019Y0142), and the Plateau Wetlands Science Innovation Team of Yunnan Province (2012HC007).</w:t>
      </w:r>
    </w:p>
    <w:p>
      <w:pPr>
        <w:keepNext w:val="0"/>
        <w:keepLines w:val="0"/>
        <w:widowControl/>
        <w:suppressLineNumbers w:val="0"/>
        <w:spacing w:line="480" w:lineRule="auto"/>
        <w:jc w:val="left"/>
      </w:pPr>
      <w:r>
        <w:rPr>
          <w:rFonts w:hint="default" w:ascii="Times New Roman" w:hAnsi="Times New Roman" w:eastAsia="宋体" w:cs="Times New Roman"/>
          <w:b/>
          <w:bCs/>
          <w:color w:val="000000"/>
          <w:kern w:val="0"/>
          <w:sz w:val="24"/>
          <w:szCs w:val="24"/>
          <w:lang w:val="en-US" w:eastAsia="zh-CN" w:bidi="ar"/>
        </w:rPr>
        <w:t xml:space="preserve">Author contributions </w:t>
      </w:r>
    </w:p>
    <w:p>
      <w:pPr>
        <w:tabs>
          <w:tab w:val="left" w:pos="6958"/>
        </w:tabs>
        <w:spacing w:before="156" w:beforeLines="50" w:after="156" w:afterLines="50" w:line="480" w:lineRule="auto"/>
        <w:rPr>
          <w:rFonts w:hint="default" w:ascii="Times New Roman" w:hAnsi="Times New Roman"/>
          <w:sz w:val="24"/>
          <w:szCs w:val="24"/>
          <w:lang w:val="en-US"/>
        </w:rPr>
      </w:pPr>
      <w:r>
        <w:rPr>
          <w:rFonts w:hint="eastAsia" w:ascii="Times New Roman" w:hAnsi="Times New Roman"/>
          <w:sz w:val="24"/>
          <w:szCs w:val="24"/>
          <w:lang w:val="en-US" w:eastAsia="zh-CN"/>
        </w:rPr>
        <w:t>ZY Liu and M Sun planned the study, ZY Liu contributed in conducting of study, data analysis and manuscript write up, DR Xiao contributed to interpreted the result, HJ Guo supervised the study.</w:t>
      </w:r>
    </w:p>
    <w:p>
      <w:pPr>
        <w:tabs>
          <w:tab w:val="left" w:pos="6958"/>
        </w:tabs>
        <w:spacing w:before="156" w:beforeLines="50" w:after="156" w:afterLines="50" w:line="480" w:lineRule="auto"/>
        <w:rPr>
          <w:rFonts w:ascii="Times New Roman" w:hAnsi="Times New Roman"/>
          <w:b/>
          <w:sz w:val="24"/>
          <w:szCs w:val="24"/>
        </w:rPr>
      </w:pPr>
      <w:r>
        <w:rPr>
          <w:rFonts w:ascii="Times New Roman" w:hAnsi="Times New Roman"/>
          <w:b/>
          <w:sz w:val="24"/>
          <w:szCs w:val="24"/>
        </w:rPr>
        <w:t xml:space="preserve">References </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Baraloto C, CE</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Paine, S</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Patino, D</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Bonal, B</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Herault, 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Chave</w:t>
      </w:r>
      <w:r>
        <w:rPr>
          <w:rFonts w:hint="eastAsia" w:ascii="Times New Roman" w:hAnsi="Times New Roman"/>
          <w:sz w:val="24"/>
          <w:szCs w:val="24"/>
          <w:shd w:val="clear" w:color="auto" w:fill="FFFFFF"/>
        </w:rPr>
        <w:t xml:space="preserve"> (</w:t>
      </w:r>
      <w:r>
        <w:rPr>
          <w:rFonts w:ascii="Times New Roman" w:hAnsi="Times New Roman"/>
          <w:sz w:val="24"/>
          <w:szCs w:val="24"/>
        </w:rPr>
        <w:t>2010</w:t>
      </w:r>
      <w:r>
        <w:rPr>
          <w:rFonts w:hint="eastAsia" w:ascii="Times New Roman" w:hAnsi="Times New Roman"/>
          <w:sz w:val="24"/>
          <w:szCs w:val="24"/>
        </w:rPr>
        <w:t>)</w:t>
      </w:r>
      <w:r>
        <w:rPr>
          <w:rFonts w:ascii="Times New Roman" w:hAnsi="Times New Roman"/>
          <w:sz w:val="24"/>
          <w:szCs w:val="24"/>
          <w:shd w:val="clear" w:color="auto" w:fill="FFFFFF"/>
        </w:rPr>
        <w:t>.</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Functional trait variation and sampling strategies in species-rich plant communities. </w:t>
      </w:r>
      <w:r>
        <w:rPr>
          <w:rFonts w:ascii="Times New Roman" w:hAnsi="Times New Roman"/>
          <w:i/>
          <w:sz w:val="24"/>
          <w:szCs w:val="24"/>
          <w:shd w:val="clear" w:color="auto" w:fill="FFFFFF"/>
        </w:rPr>
        <w:t>Functional Ecology</w:t>
      </w:r>
      <w:r>
        <w:rPr>
          <w:rFonts w:ascii="Times New Roman" w:hAnsi="Times New Roman"/>
          <w:sz w:val="24"/>
          <w:szCs w:val="24"/>
          <w:shd w:val="clear" w:color="auto" w:fill="FFFFFF"/>
        </w:rPr>
        <w:t xml:space="preserve"> 24(1):208–216.</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Bellard C, C</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Bertelsmeier, P</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Leadley, W</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Thuiller,</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F Courchamp</w:t>
      </w:r>
      <w:r>
        <w:rPr>
          <w:rFonts w:hint="eastAsia" w:ascii="Times New Roman" w:hAnsi="Times New Roman"/>
          <w:sz w:val="24"/>
          <w:szCs w:val="24"/>
          <w:shd w:val="clear" w:color="auto" w:fill="FFFFFF"/>
        </w:rPr>
        <w:t xml:space="preserve"> (</w:t>
      </w:r>
      <w:r>
        <w:rPr>
          <w:rFonts w:ascii="Times New Roman" w:hAnsi="Times New Roman"/>
          <w:sz w:val="24"/>
          <w:szCs w:val="24"/>
        </w:rPr>
        <w:t>2012</w:t>
      </w:r>
      <w:r>
        <w:rPr>
          <w:rFonts w:hint="eastAsia" w:ascii="Times New Roman" w:hAnsi="Times New Roman"/>
          <w:sz w:val="24"/>
          <w:szCs w:val="24"/>
        </w:rPr>
        <w:t>)</w:t>
      </w:r>
      <w:r>
        <w:rPr>
          <w:rFonts w:ascii="Times New Roman" w:hAnsi="Times New Roman"/>
          <w:sz w:val="24"/>
          <w:szCs w:val="24"/>
          <w:shd w:val="clear" w:color="auto" w:fill="FFFFFF"/>
        </w:rPr>
        <w:t xml:space="preserve">. Impacts of climate change on the future of biodiversity. </w:t>
      </w:r>
      <w:r>
        <w:rPr>
          <w:rFonts w:ascii="Times New Roman" w:hAnsi="Times New Roman"/>
          <w:i/>
          <w:sz w:val="24"/>
          <w:szCs w:val="24"/>
          <w:shd w:val="clear" w:color="auto" w:fill="FFFFFF"/>
        </w:rPr>
        <w:t>Ecology Letters</w:t>
      </w:r>
      <w:r>
        <w:rPr>
          <w:rFonts w:hint="eastAsia" w:ascii="Times New Roman" w:hAnsi="Times New Roman"/>
          <w:i/>
          <w:sz w:val="24"/>
          <w:szCs w:val="24"/>
          <w:shd w:val="clear" w:color="auto" w:fill="FFFFFF"/>
        </w:rPr>
        <w:t xml:space="preserve"> </w:t>
      </w:r>
      <w:r>
        <w:rPr>
          <w:rFonts w:ascii="Times New Roman" w:hAnsi="Times New Roman"/>
          <w:sz w:val="24"/>
          <w:szCs w:val="24"/>
          <w:shd w:val="clear" w:color="auto" w:fill="FFFFFF"/>
        </w:rPr>
        <w:t>15(4): 365-377.</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Blonder B</w:t>
      </w:r>
      <w:r>
        <w:rPr>
          <w:rFonts w:hint="eastAsia" w:ascii="Times New Roman" w:hAnsi="Times New Roman"/>
          <w:sz w:val="24"/>
          <w:szCs w:val="24"/>
          <w:shd w:val="clear" w:color="auto" w:fill="FFFFFF"/>
        </w:rPr>
        <w:t>,</w:t>
      </w:r>
      <w:r>
        <w:rPr>
          <w:rFonts w:ascii="Times New Roman" w:hAnsi="Times New Roman"/>
          <w:sz w:val="24"/>
          <w:szCs w:val="24"/>
          <w:shd w:val="clear" w:color="auto" w:fill="FFFFFF"/>
        </w:rPr>
        <w:t xml:space="preserve"> </w:t>
      </w:r>
      <w:r>
        <w:rPr>
          <w:rFonts w:ascii="Times New Roman" w:hAnsi="Times New Roman"/>
          <w:sz w:val="24"/>
          <w:szCs w:val="24"/>
        </w:rPr>
        <w:t>BJ</w:t>
      </w:r>
      <w:r>
        <w:rPr>
          <w:rFonts w:hint="eastAsia" w:ascii="Times New Roman" w:hAnsi="Times New Roman"/>
          <w:sz w:val="24"/>
          <w:szCs w:val="24"/>
        </w:rPr>
        <w:t xml:space="preserve"> </w:t>
      </w:r>
      <w:r>
        <w:rPr>
          <w:rFonts w:ascii="Times New Roman" w:hAnsi="Times New Roman"/>
          <w:sz w:val="24"/>
          <w:szCs w:val="24"/>
        </w:rPr>
        <w:t>Enquist</w:t>
      </w:r>
      <w:r>
        <w:rPr>
          <w:rFonts w:hint="eastAsia" w:ascii="Times New Roman" w:hAnsi="Times New Roman"/>
          <w:sz w:val="24"/>
          <w:szCs w:val="24"/>
        </w:rPr>
        <w:t xml:space="preserve"> (</w:t>
      </w:r>
      <w:r>
        <w:rPr>
          <w:rFonts w:ascii="Times New Roman" w:hAnsi="Times New Roman"/>
          <w:sz w:val="24"/>
          <w:szCs w:val="24"/>
        </w:rPr>
        <w:t>2014</w:t>
      </w:r>
      <w:r>
        <w:rPr>
          <w:rFonts w:hint="eastAsia" w:ascii="Times New Roman" w:hAnsi="Times New Roman"/>
          <w:sz w:val="24"/>
          <w:szCs w:val="24"/>
        </w:rPr>
        <w:t>)</w:t>
      </w:r>
      <w:r>
        <w:rPr>
          <w:rFonts w:ascii="Times New Roman" w:hAnsi="Times New Roman"/>
          <w:sz w:val="24"/>
          <w:szCs w:val="24"/>
        </w:rPr>
        <w:t>.</w:t>
      </w:r>
      <w:r>
        <w:rPr>
          <w:rFonts w:ascii="Times New Roman" w:hAnsi="Times New Roman"/>
          <w:sz w:val="24"/>
          <w:szCs w:val="24"/>
          <w:shd w:val="clear" w:color="auto" w:fill="FFFFFF"/>
        </w:rPr>
        <w:t xml:space="preserve"> Inferring climate from angiosperm leaf venation networks. </w:t>
      </w:r>
      <w:r>
        <w:rPr>
          <w:rFonts w:ascii="Times New Roman" w:hAnsi="Times New Roman"/>
          <w:i/>
          <w:sz w:val="24"/>
          <w:szCs w:val="24"/>
          <w:shd w:val="clear" w:color="auto" w:fill="FFFFFF"/>
        </w:rPr>
        <w:t>New Phytologist</w:t>
      </w:r>
      <w:r>
        <w:rPr>
          <w:rFonts w:hint="eastAsia" w:ascii="Times New Roman" w:hAnsi="Times New Roman"/>
          <w:i/>
          <w:sz w:val="24"/>
          <w:szCs w:val="24"/>
          <w:shd w:val="clear" w:color="auto" w:fill="FFFFFF"/>
        </w:rPr>
        <w:t xml:space="preserve"> </w:t>
      </w:r>
      <w:r>
        <w:rPr>
          <w:rFonts w:ascii="Times New Roman" w:hAnsi="Times New Roman"/>
          <w:sz w:val="24"/>
          <w:szCs w:val="24"/>
          <w:shd w:val="clear" w:color="auto" w:fill="FFFFFF"/>
        </w:rPr>
        <w:t>204(1): 116-126.</w:t>
      </w:r>
    </w:p>
    <w:p>
      <w:pPr>
        <w:widowControl/>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Blonder B, N</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Salinas, BL</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Patrick, A</w:t>
      </w:r>
      <w:r>
        <w:rPr>
          <w:rFonts w:hint="eastAsia" w:ascii="Times New Roman" w:hAnsi="Times New Roman"/>
          <w:sz w:val="24"/>
          <w:szCs w:val="24"/>
          <w:shd w:val="clear" w:color="auto" w:fill="FFFFFF"/>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"https://esajournals.onlinelibrary.wiley.com/action/doSearch?ContribAuthorStored=Shenkin,+Alexander" </w:instrText>
      </w:r>
      <w:r>
        <w:rPr>
          <w:rFonts w:ascii="Times New Roman" w:hAnsi="Times New Roman"/>
          <w:sz w:val="24"/>
          <w:szCs w:val="24"/>
        </w:rPr>
        <w:fldChar w:fldCharType="separate"/>
      </w:r>
      <w:r>
        <w:rPr>
          <w:rFonts w:ascii="Times New Roman" w:hAnsi="Times New Roman"/>
          <w:sz w:val="24"/>
          <w:szCs w:val="24"/>
          <w:shd w:val="clear" w:color="auto" w:fill="FFFFFF"/>
        </w:rPr>
        <w:t>Shenkin</w:t>
      </w:r>
      <w:r>
        <w:rPr>
          <w:rFonts w:ascii="Times New Roman" w:hAnsi="Times New Roman"/>
          <w:sz w:val="24"/>
          <w:szCs w:val="24"/>
          <w:shd w:val="clear" w:color="auto" w:fill="FFFFFF"/>
        </w:rPr>
        <w:fldChar w:fldCharType="end"/>
      </w:r>
      <w:r>
        <w:rPr>
          <w:rFonts w:ascii="Times New Roman" w:hAnsi="Times New Roman"/>
          <w:sz w:val="24"/>
          <w:szCs w:val="24"/>
          <w:shd w:val="clear" w:color="auto" w:fill="FFFFFF"/>
        </w:rPr>
        <w:t>, PP</w:t>
      </w:r>
      <w:r>
        <w:rPr>
          <w:rFonts w:hint="eastAsia" w:ascii="Times New Roman" w:hAnsi="Times New Roman"/>
          <w:sz w:val="24"/>
          <w:szCs w:val="24"/>
          <w:shd w:val="clear" w:color="auto" w:fill="FFFFFF"/>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"https://esajournals.onlinelibrary.wiley.com/action/doSearch?ContribAuthorStored=Chambi+Porroa,+Percy+O" </w:instrText>
      </w:r>
      <w:r>
        <w:rPr>
          <w:rFonts w:ascii="Times New Roman" w:hAnsi="Times New Roman"/>
          <w:sz w:val="24"/>
          <w:szCs w:val="24"/>
        </w:rPr>
        <w:fldChar w:fldCharType="separate"/>
      </w:r>
      <w:r>
        <w:rPr>
          <w:rFonts w:ascii="Times New Roman" w:hAnsi="Times New Roman"/>
          <w:sz w:val="24"/>
          <w:szCs w:val="24"/>
          <w:shd w:val="clear" w:color="auto" w:fill="FFFFFF"/>
        </w:rPr>
        <w:t>Chambi</w:t>
      </w:r>
      <w:r>
        <w:rPr>
          <w:rFonts w:ascii="Times New Roman" w:hAnsi="Times New Roman"/>
          <w:sz w:val="24"/>
          <w:szCs w:val="24"/>
          <w:shd w:val="clear" w:color="auto" w:fill="FFFFFF"/>
        </w:rPr>
        <w:fldChar w:fldCharType="end"/>
      </w:r>
      <w:r>
        <w:rPr>
          <w:rFonts w:ascii="Times New Roman" w:hAnsi="Times New Roman"/>
          <w:sz w:val="24"/>
          <w:szCs w:val="24"/>
          <w:shd w:val="clear" w:color="auto" w:fill="FFFFFF"/>
        </w:rPr>
        <w:t>,</w:t>
      </w:r>
      <w:r>
        <w:rPr>
          <w:rFonts w:ascii="Times New Roman" w:hAnsi="Times New Roman"/>
          <w:sz w:val="24"/>
          <w:szCs w:val="24"/>
        </w:rPr>
        <w:fldChar w:fldCharType="begin"/>
      </w:r>
      <w:r>
        <w:rPr>
          <w:rFonts w:ascii="Times New Roman" w:hAnsi="Times New Roman"/>
          <w:sz w:val="24"/>
          <w:szCs w:val="24"/>
        </w:rPr>
        <w:instrText xml:space="preserve"> HYPERLINK "https://esajournals.onlinelibrary.wiley.com/action/doSearch?ContribAuthorStored=Valdez+Tejeira,+Yolvi"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 YV</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Tejeira</w:t>
      </w:r>
      <w:r>
        <w:rPr>
          <w:rFonts w:ascii="Times New Roman" w:hAnsi="Times New Roman"/>
          <w:sz w:val="24"/>
          <w:szCs w:val="24"/>
          <w:shd w:val="clear" w:color="auto" w:fill="FFFFFF"/>
        </w:rPr>
        <w:fldChar w:fldCharType="end"/>
      </w:r>
      <w:r>
        <w:rPr>
          <w:rFonts w:ascii="Times New Roman" w:hAnsi="Times New Roman"/>
          <w:sz w:val="24"/>
          <w:szCs w:val="24"/>
          <w:shd w:val="clear" w:color="auto" w:fill="FFFFFF"/>
        </w:rPr>
        <w:t>,</w:t>
      </w:r>
      <w:r>
        <w:rPr>
          <w:rFonts w:ascii="Times New Roman" w:hAnsi="Times New Roman"/>
          <w:sz w:val="24"/>
          <w:szCs w:val="24"/>
        </w:rPr>
        <w:fldChar w:fldCharType="begin"/>
      </w:r>
      <w:r>
        <w:rPr>
          <w:rFonts w:ascii="Times New Roman" w:hAnsi="Times New Roman"/>
          <w:sz w:val="24"/>
          <w:szCs w:val="24"/>
        </w:rPr>
        <w:instrText xml:space="preserve"> HYPERLINK "https://esajournals.onlinelibrary.wiley.com/action/doSearch?ContribAuthorStored=Violle,+Cyrille"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 C</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Violle</w:t>
      </w:r>
      <w:r>
        <w:rPr>
          <w:rFonts w:ascii="Times New Roman" w:hAnsi="Times New Roman"/>
          <w:sz w:val="24"/>
          <w:szCs w:val="24"/>
          <w:shd w:val="clear" w:color="auto" w:fill="FFFFFF"/>
        </w:rPr>
        <w:fldChar w:fldCharType="end"/>
      </w:r>
      <w:r>
        <w:rPr>
          <w:rFonts w:ascii="Times New Roman" w:hAnsi="Times New Roman"/>
          <w:sz w:val="24"/>
          <w:szCs w:val="24"/>
          <w:shd w:val="clear" w:color="auto" w:fill="FFFFFF"/>
        </w:rPr>
        <w:t>, NM</w:t>
      </w:r>
      <w:r>
        <w:rPr>
          <w:rFonts w:hint="eastAsia" w:ascii="Times New Roman" w:hAnsi="Times New Roman"/>
          <w:sz w:val="24"/>
          <w:szCs w:val="24"/>
          <w:shd w:val="clear" w:color="auto" w:fill="FFFFFF"/>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"https://esajournals.onlinelibrary.wiley.com/action/doSearch?ContribAuthorStored=Fyllas,+Nikolaos+M" </w:instrText>
      </w:r>
      <w:r>
        <w:rPr>
          <w:rFonts w:ascii="Times New Roman" w:hAnsi="Times New Roman"/>
          <w:sz w:val="24"/>
          <w:szCs w:val="24"/>
        </w:rPr>
        <w:fldChar w:fldCharType="separate"/>
      </w:r>
      <w:r>
        <w:rPr>
          <w:rFonts w:ascii="Times New Roman" w:hAnsi="Times New Roman"/>
          <w:sz w:val="24"/>
          <w:szCs w:val="24"/>
          <w:shd w:val="clear" w:color="auto" w:fill="FFFFFF"/>
        </w:rPr>
        <w:t>Fyllas</w:t>
      </w:r>
      <w:r>
        <w:rPr>
          <w:rFonts w:ascii="Times New Roman" w:hAnsi="Times New Roman"/>
          <w:sz w:val="24"/>
          <w:szCs w:val="24"/>
          <w:shd w:val="clear" w:color="auto" w:fill="FFFFFF"/>
        </w:rPr>
        <w:fldChar w:fldCharType="end"/>
      </w:r>
      <w:r>
        <w:rPr>
          <w:rFonts w:ascii="Times New Roman" w:hAnsi="Times New Roman"/>
          <w:sz w:val="24"/>
          <w:szCs w:val="24"/>
          <w:shd w:val="clear" w:color="auto" w:fill="FFFFFF"/>
        </w:rPr>
        <w:t>, GR</w:t>
      </w:r>
      <w:r>
        <w:rPr>
          <w:rFonts w:hint="eastAsia" w:ascii="Times New Roman" w:hAnsi="Times New Roman"/>
          <w:sz w:val="24"/>
          <w:szCs w:val="24"/>
          <w:shd w:val="clear" w:color="auto" w:fill="FFFFFF"/>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"https://esajournals.onlinelibrary.wiley.com/action/doSearch?ContribAuthorStored=Goldsmith,+Gregory+R" </w:instrText>
      </w:r>
      <w:r>
        <w:rPr>
          <w:rFonts w:ascii="Times New Roman" w:hAnsi="Times New Roman"/>
          <w:sz w:val="24"/>
          <w:szCs w:val="24"/>
        </w:rPr>
        <w:fldChar w:fldCharType="separate"/>
      </w:r>
      <w:r>
        <w:rPr>
          <w:rFonts w:ascii="Times New Roman" w:hAnsi="Times New Roman"/>
          <w:sz w:val="24"/>
          <w:szCs w:val="24"/>
          <w:shd w:val="clear" w:color="auto" w:fill="FFFFFF"/>
        </w:rPr>
        <w:t>Goldsmith</w:t>
      </w:r>
      <w:r>
        <w:rPr>
          <w:rFonts w:ascii="Times New Roman" w:hAnsi="Times New Roman"/>
          <w:sz w:val="24"/>
          <w:szCs w:val="24"/>
          <w:shd w:val="clear" w:color="auto" w:fill="FFFFFF"/>
        </w:rPr>
        <w:fldChar w:fldCharType="end"/>
      </w:r>
      <w:r>
        <w:rPr>
          <w:rFonts w:ascii="Times New Roman" w:hAnsi="Times New Roman"/>
          <w:sz w:val="24"/>
          <w:szCs w:val="24"/>
          <w:shd w:val="clear" w:color="auto" w:fill="FFFFFF"/>
        </w:rPr>
        <w:t>, RE</w:t>
      </w:r>
      <w:r>
        <w:rPr>
          <w:rFonts w:hint="eastAsia" w:ascii="Times New Roman" w:hAnsi="Times New Roman"/>
          <w:sz w:val="24"/>
          <w:szCs w:val="24"/>
          <w:shd w:val="clear" w:color="auto" w:fill="FFFFFF"/>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"https://esajournals.onlinelibrary.wiley.com/action/doSearch?ContribAuthorStored=Martin,+Roberta+E" </w:instrText>
      </w:r>
      <w:r>
        <w:rPr>
          <w:rFonts w:ascii="Times New Roman" w:hAnsi="Times New Roman"/>
          <w:sz w:val="24"/>
          <w:szCs w:val="24"/>
        </w:rPr>
        <w:fldChar w:fldCharType="separate"/>
      </w:r>
      <w:r>
        <w:rPr>
          <w:rFonts w:ascii="Times New Roman" w:hAnsi="Times New Roman"/>
          <w:sz w:val="24"/>
          <w:szCs w:val="24"/>
          <w:shd w:val="clear" w:color="auto" w:fill="FFFFFF"/>
        </w:rPr>
        <w:t>Martin</w:t>
      </w:r>
      <w:r>
        <w:rPr>
          <w:rFonts w:ascii="Times New Roman" w:hAnsi="Times New Roman"/>
          <w:sz w:val="24"/>
          <w:szCs w:val="24"/>
          <w:shd w:val="clear" w:color="auto" w:fill="FFFFFF"/>
        </w:rPr>
        <w:fldChar w:fldCharType="end"/>
      </w:r>
      <w:r>
        <w:rPr>
          <w:rFonts w:hint="eastAsia" w:ascii="Times New Roman" w:hAnsi="Times New Roman"/>
          <w:sz w:val="24"/>
          <w:szCs w:val="24"/>
          <w:shd w:val="clear" w:color="auto" w:fill="FFFFFF"/>
        </w:rPr>
        <w:t xml:space="preserve"> (</w:t>
      </w:r>
      <w:r>
        <w:rPr>
          <w:rFonts w:ascii="Times New Roman" w:hAnsi="Times New Roman"/>
          <w:sz w:val="24"/>
          <w:szCs w:val="24"/>
        </w:rPr>
        <w:t>2017</w:t>
      </w:r>
      <w:r>
        <w:rPr>
          <w:rFonts w:hint="eastAsia" w:ascii="Times New Roman" w:hAnsi="Times New Roman"/>
          <w:sz w:val="24"/>
          <w:szCs w:val="24"/>
        </w:rPr>
        <w:t>)</w:t>
      </w:r>
      <w:r>
        <w:rPr>
          <w:rFonts w:ascii="Times New Roman" w:hAnsi="Times New Roman"/>
          <w:sz w:val="24"/>
          <w:szCs w:val="24"/>
          <w:shd w:val="clear" w:color="auto" w:fill="FFFFFF"/>
        </w:rPr>
        <w:t>.</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Predicting trait-environment relationships for venation networks along an Andes-Amazon elevation gradient. </w:t>
      </w:r>
      <w:r>
        <w:rPr>
          <w:rFonts w:ascii="Times New Roman" w:hAnsi="Times New Roman"/>
          <w:i/>
          <w:iCs/>
          <w:sz w:val="24"/>
          <w:szCs w:val="24"/>
          <w:shd w:val="clear" w:color="auto" w:fill="FFFFFF"/>
        </w:rPr>
        <w:t>Ecology</w:t>
      </w:r>
      <w:r>
        <w:rPr>
          <w:rFonts w:hint="eastAsia" w:ascii="Times New Roman" w:hAnsi="Times New Roman"/>
          <w:i/>
          <w:iCs/>
          <w:sz w:val="24"/>
          <w:szCs w:val="24"/>
          <w:shd w:val="clear" w:color="auto" w:fill="FFFFFF"/>
        </w:rPr>
        <w:t xml:space="preserve"> </w:t>
      </w:r>
      <w:r>
        <w:rPr>
          <w:rFonts w:ascii="Times New Roman" w:hAnsi="Times New Roman"/>
          <w:iCs/>
          <w:sz w:val="24"/>
          <w:szCs w:val="24"/>
          <w:shd w:val="clear" w:color="auto" w:fill="FFFFFF"/>
        </w:rPr>
        <w:t>98(5)</w:t>
      </w:r>
      <w:r>
        <w:rPr>
          <w:rFonts w:ascii="Times New Roman" w:hAnsi="Times New Roman"/>
          <w:sz w:val="24"/>
          <w:szCs w:val="24"/>
          <w:shd w:val="clear" w:color="auto" w:fill="FFFFFF"/>
        </w:rPr>
        <w:t>: 1239-1255.</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Bresson CC, Y</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Vitasse, A</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Kremer,</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S</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Delzon</w:t>
      </w:r>
      <w:r>
        <w:rPr>
          <w:rFonts w:hint="eastAsia" w:ascii="Times New Roman" w:hAnsi="Times New Roman"/>
          <w:sz w:val="24"/>
          <w:szCs w:val="24"/>
          <w:shd w:val="clear" w:color="auto" w:fill="FFFFFF"/>
        </w:rPr>
        <w:t xml:space="preserve"> (</w:t>
      </w:r>
      <w:r>
        <w:rPr>
          <w:rFonts w:ascii="Times New Roman" w:hAnsi="Times New Roman"/>
          <w:sz w:val="24"/>
          <w:szCs w:val="24"/>
        </w:rPr>
        <w:t>2011</w:t>
      </w:r>
      <w:r>
        <w:rPr>
          <w:rFonts w:hint="eastAsia" w:ascii="Times New Roman" w:hAnsi="Times New Roman"/>
          <w:sz w:val="24"/>
          <w:szCs w:val="24"/>
        </w:rPr>
        <w:t>)</w:t>
      </w:r>
      <w:r>
        <w:rPr>
          <w:rFonts w:ascii="Times New Roman" w:hAnsi="Times New Roman"/>
          <w:sz w:val="24"/>
          <w:szCs w:val="24"/>
          <w:shd w:val="clear" w:color="auto" w:fill="FFFFFF"/>
        </w:rPr>
        <w:t>. To what extent is altitudinal variation of functional traits driven by genetic adaptation in European oak and beech?.</w:t>
      </w:r>
      <w:r>
        <w:rPr>
          <w:rFonts w:ascii="Times New Roman" w:hAnsi="Times New Roman"/>
          <w:i/>
          <w:sz w:val="24"/>
          <w:szCs w:val="24"/>
          <w:shd w:val="clear" w:color="auto" w:fill="FFFFFF"/>
        </w:rPr>
        <w:t>Tree Physiology</w:t>
      </w:r>
      <w:r>
        <w:rPr>
          <w:rFonts w:hint="eastAsia" w:ascii="Times New Roman" w:hAnsi="Times New Roman"/>
          <w:i/>
          <w:sz w:val="24"/>
          <w:szCs w:val="24"/>
          <w:shd w:val="clear" w:color="auto" w:fill="FFFFFF"/>
        </w:rPr>
        <w:t xml:space="preserve"> </w:t>
      </w:r>
      <w:r>
        <w:rPr>
          <w:rFonts w:ascii="Times New Roman" w:hAnsi="Times New Roman"/>
          <w:sz w:val="24"/>
          <w:szCs w:val="24"/>
          <w:shd w:val="clear" w:color="auto" w:fill="FFFFFF"/>
        </w:rPr>
        <w:t>31(11): 1164-1174.</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Brodribb TJ</w:t>
      </w:r>
      <w:r>
        <w:rPr>
          <w:rFonts w:hint="eastAsia" w:ascii="Times New Roman" w:hAnsi="Times New Roman"/>
          <w:sz w:val="24"/>
          <w:szCs w:val="24"/>
          <w:shd w:val="clear" w:color="auto" w:fill="FFFFFF"/>
        </w:rPr>
        <w:t>,</w:t>
      </w:r>
      <w:r>
        <w:rPr>
          <w:rFonts w:ascii="Times New Roman" w:hAnsi="Times New Roman"/>
          <w:sz w:val="24"/>
          <w:szCs w:val="24"/>
          <w:shd w:val="clear" w:color="auto" w:fill="FFFFFF"/>
        </w:rPr>
        <w:t xml:space="preserve"> GJ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Jordan</w:t>
      </w:r>
      <w:r>
        <w:rPr>
          <w:rFonts w:hint="eastAsia" w:ascii="Times New Roman" w:hAnsi="Times New Roman"/>
          <w:sz w:val="24"/>
          <w:szCs w:val="24"/>
          <w:shd w:val="clear" w:color="auto" w:fill="FFFFFF"/>
        </w:rPr>
        <w:t xml:space="preserve"> (</w:t>
      </w:r>
      <w:r>
        <w:rPr>
          <w:rFonts w:ascii="Times New Roman" w:hAnsi="Times New Roman"/>
          <w:sz w:val="24"/>
          <w:szCs w:val="24"/>
        </w:rPr>
        <w:t>2011</w:t>
      </w:r>
      <w:r>
        <w:rPr>
          <w:rFonts w:hint="eastAsia" w:ascii="Times New Roman" w:hAnsi="Times New Roman"/>
          <w:sz w:val="24"/>
          <w:szCs w:val="24"/>
        </w:rPr>
        <w:t>)</w:t>
      </w:r>
      <w:r>
        <w:rPr>
          <w:rFonts w:ascii="Times New Roman" w:hAnsi="Times New Roman"/>
          <w:sz w:val="24"/>
          <w:szCs w:val="24"/>
          <w:shd w:val="clear" w:color="auto" w:fill="FFFFFF"/>
        </w:rPr>
        <w:t xml:space="preserve">. Water supply and demand remain balanced during leaf acclimation of </w:t>
      </w:r>
      <w:r>
        <w:rPr>
          <w:rFonts w:ascii="Times New Roman" w:hAnsi="Times New Roman"/>
          <w:i/>
          <w:sz w:val="24"/>
          <w:szCs w:val="24"/>
          <w:shd w:val="clear" w:color="auto" w:fill="FFFFFF"/>
        </w:rPr>
        <w:t>Nothofagus cunninghamii</w:t>
      </w:r>
      <w:r>
        <w:rPr>
          <w:rFonts w:ascii="Times New Roman" w:hAnsi="Times New Roman"/>
          <w:sz w:val="24"/>
          <w:szCs w:val="24"/>
          <w:shd w:val="clear" w:color="auto" w:fill="FFFFFF"/>
        </w:rPr>
        <w:t xml:space="preserve"> trees. </w:t>
      </w:r>
      <w:r>
        <w:rPr>
          <w:rFonts w:ascii="Times New Roman" w:hAnsi="Times New Roman"/>
          <w:i/>
          <w:iCs/>
          <w:sz w:val="24"/>
          <w:szCs w:val="24"/>
          <w:shd w:val="clear" w:color="auto" w:fill="FFFFFF"/>
        </w:rPr>
        <w:t>New Phytologist</w:t>
      </w:r>
      <w:r>
        <w:rPr>
          <w:rFonts w:hint="eastAsia" w:ascii="Times New Roman" w:hAnsi="Times New Roman"/>
          <w:i/>
          <w:iCs/>
          <w:sz w:val="24"/>
          <w:szCs w:val="24"/>
          <w:shd w:val="clear" w:color="auto" w:fill="FFFFFF"/>
        </w:rPr>
        <w:t xml:space="preserve"> </w:t>
      </w:r>
      <w:r>
        <w:rPr>
          <w:rFonts w:ascii="Times New Roman" w:hAnsi="Times New Roman"/>
          <w:iCs/>
          <w:sz w:val="24"/>
          <w:szCs w:val="24"/>
          <w:shd w:val="clear" w:color="auto" w:fill="FFFFFF"/>
        </w:rPr>
        <w:t>192(2)</w:t>
      </w:r>
      <w:r>
        <w:rPr>
          <w:rFonts w:ascii="Times New Roman" w:hAnsi="Times New Roman"/>
          <w:sz w:val="24"/>
          <w:szCs w:val="24"/>
          <w:shd w:val="clear" w:color="auto" w:fill="FFFFFF"/>
        </w:rPr>
        <w:t>: 437-448.</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Brodribb TJ, TS</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Field, GJ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Jordan</w:t>
      </w:r>
      <w:r>
        <w:rPr>
          <w:rFonts w:hint="eastAsia" w:ascii="Times New Roman" w:hAnsi="Times New Roman"/>
          <w:sz w:val="24"/>
          <w:szCs w:val="24"/>
          <w:shd w:val="clear" w:color="auto" w:fill="FFFFFF"/>
        </w:rPr>
        <w:t xml:space="preserve"> (</w:t>
      </w:r>
      <w:r>
        <w:rPr>
          <w:rFonts w:ascii="Times New Roman" w:hAnsi="Times New Roman"/>
          <w:sz w:val="24"/>
          <w:szCs w:val="24"/>
        </w:rPr>
        <w:t>2007</w:t>
      </w:r>
      <w:r>
        <w:rPr>
          <w:rFonts w:hint="eastAsia" w:ascii="Times New Roman" w:hAnsi="Times New Roman"/>
          <w:sz w:val="24"/>
          <w:szCs w:val="24"/>
        </w:rPr>
        <w:t>)</w:t>
      </w:r>
      <w:r>
        <w:rPr>
          <w:rFonts w:ascii="Times New Roman" w:hAnsi="Times New Roman"/>
          <w:sz w:val="24"/>
          <w:szCs w:val="24"/>
          <w:shd w:val="clear" w:color="auto" w:fill="FFFFFF"/>
        </w:rPr>
        <w:t xml:space="preserve">. Leaf maximum photosynthetic rate and venation are linked by hydraulics. </w:t>
      </w:r>
      <w:r>
        <w:rPr>
          <w:rFonts w:ascii="Times New Roman" w:hAnsi="Times New Roman"/>
          <w:i/>
          <w:iCs/>
          <w:sz w:val="24"/>
          <w:szCs w:val="24"/>
          <w:shd w:val="clear" w:color="auto" w:fill="FFFFFF"/>
        </w:rPr>
        <w:t>Plant Physiology</w:t>
      </w:r>
      <w:r>
        <w:rPr>
          <w:rFonts w:hint="eastAsia" w:ascii="Times New Roman" w:hAnsi="Times New Roman"/>
          <w:i/>
          <w:iCs/>
          <w:sz w:val="24"/>
          <w:szCs w:val="24"/>
          <w:shd w:val="clear" w:color="auto" w:fill="FFFFFF"/>
        </w:rPr>
        <w:t xml:space="preserve"> </w:t>
      </w:r>
      <w:r>
        <w:rPr>
          <w:rFonts w:ascii="Times New Roman" w:hAnsi="Times New Roman"/>
          <w:iCs/>
          <w:sz w:val="24"/>
          <w:szCs w:val="24"/>
          <w:shd w:val="clear" w:color="auto" w:fill="FFFFFF"/>
        </w:rPr>
        <w:t>144(4)</w:t>
      </w:r>
      <w:r>
        <w:rPr>
          <w:rFonts w:ascii="Times New Roman" w:hAnsi="Times New Roman"/>
          <w:sz w:val="24"/>
          <w:szCs w:val="24"/>
          <w:shd w:val="clear" w:color="auto" w:fill="FFFFFF"/>
        </w:rPr>
        <w:t>: 1890-1898.</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Brodribb TJ, GJ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Jordan, RJ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Carpenter </w:t>
      </w:r>
      <w:r>
        <w:rPr>
          <w:rFonts w:hint="eastAsia" w:ascii="Times New Roman" w:hAnsi="Times New Roman"/>
          <w:sz w:val="24"/>
          <w:szCs w:val="24"/>
          <w:shd w:val="clear" w:color="auto" w:fill="FFFFFF"/>
        </w:rPr>
        <w:t>(</w:t>
      </w:r>
      <w:r>
        <w:rPr>
          <w:rFonts w:ascii="Times New Roman" w:hAnsi="Times New Roman"/>
          <w:sz w:val="24"/>
          <w:szCs w:val="24"/>
        </w:rPr>
        <w:t>2013</w:t>
      </w:r>
      <w:r>
        <w:rPr>
          <w:rFonts w:hint="eastAsia" w:ascii="Times New Roman" w:hAnsi="Times New Roman"/>
          <w:sz w:val="24"/>
          <w:szCs w:val="24"/>
        </w:rPr>
        <w:t>)</w:t>
      </w:r>
      <w:r>
        <w:rPr>
          <w:rFonts w:ascii="Times New Roman" w:hAnsi="Times New Roman"/>
          <w:sz w:val="24"/>
          <w:szCs w:val="24"/>
          <w:shd w:val="clear" w:color="auto" w:fill="FFFFFF"/>
        </w:rPr>
        <w:t xml:space="preserve">. Unified changes in cell size permit coordinated leaf evolution. </w:t>
      </w:r>
      <w:r>
        <w:rPr>
          <w:rFonts w:ascii="Times New Roman" w:hAnsi="Times New Roman"/>
          <w:i/>
          <w:sz w:val="24"/>
          <w:szCs w:val="24"/>
          <w:shd w:val="clear" w:color="auto" w:fill="FFFFFF"/>
        </w:rPr>
        <w:t>New Phytologist</w:t>
      </w:r>
      <w:r>
        <w:rPr>
          <w:rFonts w:hint="eastAsia" w:ascii="Times New Roman" w:hAnsi="Times New Roman"/>
          <w:i/>
          <w:sz w:val="24"/>
          <w:szCs w:val="24"/>
          <w:shd w:val="clear" w:color="auto" w:fill="FFFFFF"/>
        </w:rPr>
        <w:t xml:space="preserve"> </w:t>
      </w:r>
      <w:r>
        <w:rPr>
          <w:rFonts w:ascii="Times New Roman" w:hAnsi="Times New Roman"/>
          <w:sz w:val="24"/>
          <w:szCs w:val="24"/>
          <w:shd w:val="clear" w:color="auto" w:fill="FFFFFF"/>
        </w:rPr>
        <w:t>199(2): 559-570.</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Bucher SF, K</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Auerswald, S</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Tautenhahn, A</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Geiger, 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Otto, A</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Müller, C</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Römermann</w:t>
      </w:r>
      <w:r>
        <w:rPr>
          <w:rFonts w:hint="eastAsia" w:ascii="Times New Roman" w:hAnsi="Times New Roman"/>
          <w:sz w:val="24"/>
          <w:szCs w:val="24"/>
          <w:shd w:val="clear" w:color="auto" w:fill="FFFFFF"/>
        </w:rPr>
        <w:t xml:space="preserve"> (</w:t>
      </w:r>
      <w:r>
        <w:rPr>
          <w:rFonts w:ascii="Times New Roman" w:hAnsi="Times New Roman"/>
          <w:sz w:val="24"/>
          <w:szCs w:val="24"/>
        </w:rPr>
        <w:t>2016</w:t>
      </w:r>
      <w:r>
        <w:rPr>
          <w:rFonts w:hint="eastAsia" w:ascii="Times New Roman" w:hAnsi="Times New Roman"/>
          <w:sz w:val="24"/>
          <w:szCs w:val="24"/>
        </w:rPr>
        <w:t>)</w:t>
      </w:r>
      <w:r>
        <w:rPr>
          <w:rFonts w:ascii="Times New Roman" w:hAnsi="Times New Roman"/>
          <w:sz w:val="24"/>
          <w:szCs w:val="24"/>
          <w:shd w:val="clear" w:color="auto" w:fill="FFFFFF"/>
        </w:rPr>
        <w:t xml:space="preserve">. Inter-and intraspecific variation in stomatal pore area index along elevational gradients and its relation to leaf functional traits. </w:t>
      </w:r>
      <w:r>
        <w:rPr>
          <w:rFonts w:ascii="Times New Roman" w:hAnsi="Times New Roman"/>
          <w:i/>
          <w:sz w:val="24"/>
          <w:szCs w:val="24"/>
          <w:shd w:val="clear" w:color="auto" w:fill="FFFFFF"/>
        </w:rPr>
        <w:t>Plant Ecology</w:t>
      </w:r>
      <w:r>
        <w:rPr>
          <w:rFonts w:ascii="Times New Roman" w:hAnsi="Times New Roman"/>
          <w:sz w:val="24"/>
          <w:szCs w:val="24"/>
          <w:shd w:val="clear" w:color="auto" w:fill="FFFFFF"/>
        </w:rPr>
        <w:t xml:space="preserve"> 217(3): 229-240.</w:t>
      </w:r>
    </w:p>
    <w:p>
      <w:pPr>
        <w:spacing w:line="480" w:lineRule="auto"/>
        <w:ind w:left="480" w:hanging="480" w:hangingChars="200"/>
        <w:rPr>
          <w:rFonts w:ascii="Times New Roman" w:hAnsi="Times New Roman"/>
          <w:sz w:val="24"/>
          <w:szCs w:val="24"/>
        </w:rPr>
      </w:pPr>
      <w:r>
        <w:rPr>
          <w:rFonts w:ascii="Times New Roman" w:hAnsi="Times New Roman"/>
          <w:sz w:val="24"/>
          <w:szCs w:val="24"/>
        </w:rPr>
        <w:t>Caldera HIU, WAJM</w:t>
      </w:r>
      <w:r>
        <w:rPr>
          <w:rFonts w:hint="eastAsia" w:ascii="Times New Roman" w:hAnsi="Times New Roman"/>
          <w:sz w:val="24"/>
          <w:szCs w:val="24"/>
        </w:rPr>
        <w:t xml:space="preserve"> </w:t>
      </w:r>
      <w:r>
        <w:rPr>
          <w:rFonts w:ascii="Times New Roman" w:hAnsi="Times New Roman"/>
          <w:sz w:val="24"/>
          <w:szCs w:val="24"/>
        </w:rPr>
        <w:t>De Costa, FI</w:t>
      </w:r>
      <w:r>
        <w:rPr>
          <w:rFonts w:hint="eastAsia" w:ascii="Times New Roman" w:hAnsi="Times New Roman"/>
          <w:sz w:val="24"/>
          <w:szCs w:val="24"/>
        </w:rPr>
        <w:t xml:space="preserve"> </w:t>
      </w:r>
      <w:r>
        <w:rPr>
          <w:rFonts w:ascii="Times New Roman" w:hAnsi="Times New Roman"/>
          <w:sz w:val="24"/>
          <w:szCs w:val="24"/>
        </w:rPr>
        <w:t>Woodward, JA</w:t>
      </w:r>
      <w:r>
        <w:rPr>
          <w:rFonts w:hint="eastAsia" w:ascii="Times New Roman" w:hAnsi="Times New Roman"/>
          <w:sz w:val="24"/>
          <w:szCs w:val="24"/>
        </w:rPr>
        <w:t xml:space="preserve"> </w:t>
      </w:r>
      <w:r>
        <w:rPr>
          <w:rFonts w:ascii="Times New Roman" w:hAnsi="Times New Roman"/>
          <w:sz w:val="24"/>
          <w:szCs w:val="24"/>
        </w:rPr>
        <w:t>Lake,</w:t>
      </w:r>
      <w:r>
        <w:rPr>
          <w:rFonts w:hint="eastAsia" w:ascii="Times New Roman" w:hAnsi="Times New Roman"/>
          <w:sz w:val="24"/>
          <w:szCs w:val="24"/>
        </w:rPr>
        <w:t xml:space="preserve"> </w:t>
      </w:r>
      <w:r>
        <w:rPr>
          <w:rFonts w:ascii="Times New Roman" w:hAnsi="Times New Roman"/>
          <w:sz w:val="24"/>
          <w:szCs w:val="24"/>
        </w:rPr>
        <w:t>SMW</w:t>
      </w:r>
      <w:r>
        <w:rPr>
          <w:rFonts w:hint="eastAsia" w:ascii="Times New Roman" w:hAnsi="Times New Roman"/>
          <w:sz w:val="24"/>
          <w:szCs w:val="24"/>
        </w:rPr>
        <w:t xml:space="preserve"> </w:t>
      </w:r>
      <w:r>
        <w:rPr>
          <w:rFonts w:ascii="Times New Roman" w:hAnsi="Times New Roman"/>
          <w:sz w:val="24"/>
          <w:szCs w:val="24"/>
        </w:rPr>
        <w:t xml:space="preserve">Ranwala </w:t>
      </w:r>
      <w:r>
        <w:rPr>
          <w:rFonts w:hint="eastAsia" w:ascii="Times New Roman" w:hAnsi="Times New Roman"/>
          <w:sz w:val="24"/>
          <w:szCs w:val="24"/>
        </w:rPr>
        <w:t>(</w:t>
      </w:r>
      <w:r>
        <w:rPr>
          <w:rFonts w:ascii="Times New Roman" w:hAnsi="Times New Roman"/>
          <w:sz w:val="24"/>
          <w:szCs w:val="24"/>
        </w:rPr>
        <w:t>2016</w:t>
      </w:r>
      <w:r>
        <w:rPr>
          <w:rFonts w:hint="eastAsia" w:ascii="Times New Roman" w:hAnsi="Times New Roman"/>
          <w:sz w:val="24"/>
          <w:szCs w:val="24"/>
        </w:rPr>
        <w:t>)</w:t>
      </w:r>
      <w:r>
        <w:rPr>
          <w:rFonts w:ascii="Times New Roman" w:hAnsi="Times New Roman"/>
          <w:sz w:val="24"/>
          <w:szCs w:val="24"/>
        </w:rPr>
        <w:t xml:space="preserve">. Effects of elevated carbon dioxide on stomatal characteristics and carbon isotope ratio of </w:t>
      </w:r>
      <w:r>
        <w:rPr>
          <w:rFonts w:ascii="Times New Roman" w:hAnsi="Times New Roman"/>
          <w:i/>
          <w:sz w:val="24"/>
          <w:szCs w:val="24"/>
        </w:rPr>
        <w:t>Arabidopsis thaliana</w:t>
      </w:r>
      <w:r>
        <w:rPr>
          <w:rFonts w:ascii="Times New Roman" w:hAnsi="Times New Roman"/>
          <w:sz w:val="24"/>
          <w:szCs w:val="24"/>
        </w:rPr>
        <w:t xml:space="preserve"> ecotypes originating from an altitudinal gradient. </w:t>
      </w:r>
      <w:r>
        <w:rPr>
          <w:rFonts w:ascii="Times New Roman" w:hAnsi="Times New Roman"/>
          <w:i/>
          <w:sz w:val="24"/>
          <w:szCs w:val="24"/>
        </w:rPr>
        <w:t>Physiologia Plantarum</w:t>
      </w:r>
      <w:r>
        <w:rPr>
          <w:rFonts w:hint="eastAsia" w:ascii="Times New Roman" w:hAnsi="Times New Roman"/>
          <w:i/>
          <w:sz w:val="24"/>
          <w:szCs w:val="24"/>
        </w:rPr>
        <w:t xml:space="preserve"> </w:t>
      </w:r>
      <w:r>
        <w:rPr>
          <w:rFonts w:ascii="Times New Roman" w:hAnsi="Times New Roman"/>
          <w:sz w:val="24"/>
          <w:szCs w:val="24"/>
        </w:rPr>
        <w:t>159(1): 74-92.</w:t>
      </w:r>
    </w:p>
    <w:p>
      <w:pPr>
        <w:spacing w:line="480" w:lineRule="auto"/>
        <w:ind w:left="480" w:hanging="480" w:hangingChars="200"/>
        <w:rPr>
          <w:rFonts w:ascii="Times New Roman" w:hAnsi="Times New Roman"/>
          <w:sz w:val="24"/>
          <w:szCs w:val="24"/>
        </w:rPr>
      </w:pPr>
      <w:r>
        <w:rPr>
          <w:rFonts w:ascii="Times New Roman" w:hAnsi="Times New Roman"/>
          <w:sz w:val="24"/>
          <w:szCs w:val="24"/>
        </w:rPr>
        <w:t>Corlett RT, DA</w:t>
      </w:r>
      <w:r>
        <w:rPr>
          <w:rFonts w:hint="eastAsia" w:ascii="Times New Roman" w:hAnsi="Times New Roman"/>
          <w:sz w:val="24"/>
          <w:szCs w:val="24"/>
        </w:rPr>
        <w:t xml:space="preserve"> </w:t>
      </w:r>
      <w:r>
        <w:rPr>
          <w:rFonts w:ascii="Times New Roman" w:hAnsi="Times New Roman"/>
          <w:sz w:val="24"/>
          <w:szCs w:val="24"/>
        </w:rPr>
        <w:t>Westcott</w:t>
      </w:r>
      <w:r>
        <w:rPr>
          <w:rFonts w:hint="eastAsia" w:ascii="Times New Roman" w:hAnsi="Times New Roman"/>
          <w:sz w:val="24"/>
          <w:szCs w:val="24"/>
        </w:rPr>
        <w:t xml:space="preserve"> (</w:t>
      </w:r>
      <w:r>
        <w:rPr>
          <w:rFonts w:ascii="Times New Roman" w:hAnsi="Times New Roman"/>
          <w:sz w:val="24"/>
          <w:szCs w:val="24"/>
        </w:rPr>
        <w:t>2013</w:t>
      </w:r>
      <w:r>
        <w:rPr>
          <w:rFonts w:hint="eastAsia" w:ascii="Times New Roman" w:hAnsi="Times New Roman"/>
          <w:sz w:val="24"/>
          <w:szCs w:val="24"/>
        </w:rPr>
        <w:t>)</w:t>
      </w:r>
      <w:r>
        <w:rPr>
          <w:rFonts w:ascii="Times New Roman" w:hAnsi="Times New Roman"/>
          <w:sz w:val="24"/>
          <w:szCs w:val="24"/>
        </w:rPr>
        <w:t xml:space="preserve">. Will plant movements keep up with climate change? </w:t>
      </w:r>
      <w:r>
        <w:rPr>
          <w:rFonts w:ascii="Times New Roman" w:hAnsi="Times New Roman"/>
          <w:i/>
          <w:sz w:val="24"/>
          <w:szCs w:val="24"/>
        </w:rPr>
        <w:t>Trends in Ecology &amp; Evolution</w:t>
      </w:r>
      <w:r>
        <w:rPr>
          <w:rFonts w:hint="eastAsia" w:ascii="Times New Roman" w:hAnsi="Times New Roman"/>
          <w:i/>
          <w:sz w:val="24"/>
          <w:szCs w:val="24"/>
        </w:rPr>
        <w:t xml:space="preserve"> </w:t>
      </w:r>
      <w:r>
        <w:rPr>
          <w:rFonts w:ascii="Times New Roman" w:hAnsi="Times New Roman"/>
          <w:sz w:val="24"/>
          <w:szCs w:val="24"/>
        </w:rPr>
        <w:t>28(8):482-488.</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Drake PL, HJ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De Boer, SJ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Schymanski, EJ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Veneklaas</w:t>
      </w:r>
      <w:r>
        <w:rPr>
          <w:rFonts w:hint="eastAsia" w:ascii="Times New Roman" w:hAnsi="Times New Roman"/>
          <w:sz w:val="24"/>
          <w:szCs w:val="24"/>
          <w:shd w:val="clear" w:color="auto" w:fill="FFFFFF"/>
        </w:rPr>
        <w:t xml:space="preserve"> (</w:t>
      </w:r>
      <w:r>
        <w:rPr>
          <w:rFonts w:ascii="Times New Roman" w:hAnsi="Times New Roman"/>
          <w:sz w:val="24"/>
          <w:szCs w:val="24"/>
        </w:rPr>
        <w:t>2019</w:t>
      </w:r>
      <w:r>
        <w:rPr>
          <w:rFonts w:hint="eastAsia" w:ascii="Times New Roman" w:hAnsi="Times New Roman"/>
          <w:sz w:val="24"/>
          <w:szCs w:val="24"/>
        </w:rPr>
        <w:t>)</w:t>
      </w:r>
      <w:r>
        <w:rPr>
          <w:rFonts w:ascii="Times New Roman" w:hAnsi="Times New Roman"/>
          <w:sz w:val="24"/>
          <w:szCs w:val="24"/>
          <w:shd w:val="clear" w:color="auto" w:fill="FFFFFF"/>
        </w:rPr>
        <w:t>. Two sides to every leaf: water and CO</w:t>
      </w:r>
      <w:r>
        <w:rPr>
          <w:rFonts w:ascii="Times New Roman" w:hAnsi="Times New Roman"/>
          <w:sz w:val="24"/>
          <w:szCs w:val="24"/>
          <w:shd w:val="clear" w:color="auto" w:fill="FFFFFF"/>
          <w:vertAlign w:val="subscript"/>
        </w:rPr>
        <w:t>2</w:t>
      </w:r>
      <w:r>
        <w:rPr>
          <w:rFonts w:ascii="Times New Roman" w:hAnsi="Times New Roman"/>
          <w:sz w:val="24"/>
          <w:szCs w:val="24"/>
          <w:shd w:val="clear" w:color="auto" w:fill="FFFFFF"/>
        </w:rPr>
        <w:t xml:space="preserve"> transport in hypostomatous and amphistomatous leaves. </w:t>
      </w:r>
      <w:r>
        <w:rPr>
          <w:rFonts w:ascii="Times New Roman" w:hAnsi="Times New Roman"/>
          <w:i/>
          <w:iCs/>
          <w:sz w:val="24"/>
          <w:szCs w:val="24"/>
          <w:shd w:val="clear" w:color="auto" w:fill="FFFFFF"/>
        </w:rPr>
        <w:t>New Phytologist</w:t>
      </w:r>
      <w:r>
        <w:rPr>
          <w:rFonts w:hint="eastAsia" w:ascii="Times New Roman" w:hAnsi="Times New Roman"/>
          <w:i/>
          <w:iCs/>
          <w:sz w:val="24"/>
          <w:szCs w:val="24"/>
          <w:shd w:val="clear" w:color="auto" w:fill="FFFFFF"/>
        </w:rPr>
        <w:t xml:space="preserve"> </w:t>
      </w:r>
      <w:r>
        <w:rPr>
          <w:rFonts w:ascii="Times New Roman" w:hAnsi="Times New Roman"/>
          <w:iCs/>
          <w:sz w:val="24"/>
          <w:szCs w:val="24"/>
          <w:shd w:val="clear" w:color="auto" w:fill="FFFFFF"/>
        </w:rPr>
        <w:t>222(3)</w:t>
      </w:r>
      <w:r>
        <w:rPr>
          <w:rFonts w:ascii="Times New Roman" w:hAnsi="Times New Roman"/>
          <w:sz w:val="24"/>
          <w:szCs w:val="24"/>
          <w:shd w:val="clear" w:color="auto" w:fill="FFFFFF"/>
        </w:rPr>
        <w:t>: 1179-1187.</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rPr>
        <w:fldChar w:fldCharType="begin"/>
      </w:r>
      <w:r>
        <w:rPr>
          <w:rFonts w:ascii="Times New Roman" w:hAnsi="Times New Roman"/>
          <w:sz w:val="24"/>
          <w:szCs w:val="24"/>
        </w:rPr>
        <w:instrText xml:space="preserve"> HYPERLINK "https://xueshu.baidu.com/s?wd=author:(Stephanie)%20Department%20of%20Botany&amp;tn=SE_baiduxueshu_c1gjeupa&amp;ie=utf-8&amp;sc_f_para=sc_hilight=person"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Stephanie</w:t>
      </w:r>
      <w:r>
        <w:rPr>
          <w:rStyle w:val="5"/>
          <w:rFonts w:ascii="Times New Roman" w:hAnsi="Times New Roman" w:eastAsia="微软雅黑"/>
          <w:color w:val="auto"/>
          <w:sz w:val="24"/>
          <w:szCs w:val="24"/>
          <w:u w:val="none"/>
        </w:rPr>
        <w:fldChar w:fldCharType="end"/>
      </w:r>
      <w:r>
        <w:rPr>
          <w:rStyle w:val="5"/>
          <w:rFonts w:hint="eastAsia" w:ascii="Times New Roman" w:hAnsi="Times New Roman" w:eastAsia="微软雅黑"/>
          <w:color w:val="auto"/>
          <w:sz w:val="24"/>
          <w:szCs w:val="24"/>
          <w:u w:val="none"/>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"https://xueshu.baidu.com/s?wd=author:(Dunbar-Co)%20Department%20of%20Botany&amp;tn=SE_baiduxueshu_c1gjeupa&amp;ie=utf-8&amp;sc_f_para=sc_hilight=person"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DC</w:t>
      </w:r>
      <w:r>
        <w:rPr>
          <w:rStyle w:val="5"/>
          <w:rFonts w:ascii="Times New Roman" w:hAnsi="Times New Roman" w:eastAsia="微软雅黑"/>
          <w:color w:val="auto"/>
          <w:sz w:val="24"/>
          <w:szCs w:val="24"/>
          <w:u w:val="none"/>
        </w:rPr>
        <w:fldChar w:fldCharType="end"/>
      </w:r>
      <w:r>
        <w:rPr>
          <w:rFonts w:ascii="Times New Roman" w:hAnsi="Times New Roman" w:eastAsia="微软雅黑"/>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"https://xueshu.baidu.com/s?wd=author:(Sporck)%20Department%20of%20Botany&amp;tn=SE_baiduxueshu_c1gjeupa&amp;ie=utf-8&amp;sc_f_para=sc_hilight=person"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Sporck</w:t>
      </w:r>
      <w:r>
        <w:rPr>
          <w:rStyle w:val="5"/>
          <w:rFonts w:ascii="Times New Roman" w:hAnsi="Times New Roman" w:eastAsia="微软雅黑"/>
          <w:color w:val="auto"/>
          <w:sz w:val="24"/>
          <w:szCs w:val="24"/>
          <w:u w:val="none"/>
        </w:rPr>
        <w:fldChar w:fldCharType="end"/>
      </w:r>
      <w:r>
        <w:rPr>
          <w:rFonts w:ascii="Times New Roman" w:hAnsi="Times New Roman" w:eastAsia="微软雅黑"/>
          <w:sz w:val="24"/>
          <w:szCs w:val="24"/>
        </w:rPr>
        <w:t>,</w:t>
      </w:r>
      <w:r>
        <w:rPr>
          <w:rStyle w:val="5"/>
          <w:rFonts w:ascii="Times New Roman" w:hAnsi="Times New Roman" w:eastAsia="微软雅黑"/>
          <w:color w:val="auto"/>
          <w:sz w:val="24"/>
          <w:szCs w:val="24"/>
          <w:u w:val="none"/>
        </w:rPr>
        <w:t xml:space="preserve"> J</w:t>
      </w:r>
      <w:r>
        <w:rPr>
          <w:rStyle w:val="5"/>
          <w:rFonts w:hint="eastAsia" w:ascii="Times New Roman" w:hAnsi="Times New Roman" w:eastAsia="微软雅黑"/>
          <w:color w:val="auto"/>
          <w:sz w:val="24"/>
          <w:szCs w:val="24"/>
          <w:u w:val="none"/>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"https://xueshu.baidu.com/s?wd=author:(Margaret%20J.)%20Department%20of%20Botany&amp;tn=SE_baiduxueshu_c1gjeupa&amp;ie=utf-8&amp;sc_f_para=sc_hilight=person"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Margaret</w:t>
      </w:r>
      <w:r>
        <w:rPr>
          <w:rStyle w:val="5"/>
          <w:rFonts w:ascii="Times New Roman" w:hAnsi="Times New Roman" w:eastAsia="微软雅黑"/>
          <w:color w:val="auto"/>
          <w:sz w:val="24"/>
          <w:szCs w:val="24"/>
          <w:u w:val="none"/>
        </w:rPr>
        <w:fldChar w:fldCharType="end"/>
      </w:r>
      <w:r>
        <w:rPr>
          <w:rFonts w:ascii="Times New Roman" w:hAnsi="Times New Roman" w:eastAsia="微软雅黑"/>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"https://xueshu.baidu.com/s?wd=author:(Sack)%20Department%20of%20Botany&amp;tn=SE_baiduxueshu_c1gjeupa&amp;ie=utf-8&amp;sc_f_para=sc_hilight=person"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S</w:t>
      </w:r>
      <w:r>
        <w:rPr>
          <w:rStyle w:val="5"/>
          <w:rFonts w:ascii="Times New Roman" w:hAnsi="Times New Roman" w:eastAsia="微软雅黑"/>
          <w:color w:val="auto"/>
          <w:sz w:val="24"/>
          <w:szCs w:val="24"/>
          <w:u w:val="none"/>
        </w:rPr>
        <w:fldChar w:fldCharType="end"/>
      </w:r>
      <w:r>
        <w:rPr>
          <w:rFonts w:ascii="Times New Roman" w:hAnsi="Times New Roman" w:eastAsia="微软雅黑"/>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"https://xueshu.baidu.com/s?wd=author:(Lawren)%20Department%20of%20Botany&amp;tn=SE_baiduxueshu_c1gjeupa&amp;ie=utf-8&amp;sc_f_para=sc_hilight=person"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Lawren</w:t>
      </w:r>
      <w:r>
        <w:rPr>
          <w:rStyle w:val="5"/>
          <w:rFonts w:ascii="Times New Roman" w:hAnsi="Times New Roman" w:eastAsia="微软雅黑"/>
          <w:color w:val="auto"/>
          <w:sz w:val="24"/>
          <w:szCs w:val="24"/>
          <w:u w:val="none"/>
        </w:rPr>
        <w:fldChar w:fldCharType="end"/>
      </w:r>
      <w:r>
        <w:rPr>
          <w:rStyle w:val="5"/>
          <w:rFonts w:hint="eastAsia" w:ascii="Times New Roman" w:hAnsi="Times New Roman" w:eastAsia="微软雅黑"/>
          <w:color w:val="auto"/>
          <w:sz w:val="24"/>
          <w:szCs w:val="24"/>
          <w:u w:val="none"/>
        </w:rPr>
        <w:t xml:space="preserve"> </w:t>
      </w:r>
      <w:r>
        <w:rPr>
          <w:rFonts w:hint="eastAsia" w:ascii="Times New Roman" w:hAnsi="Times New Roman" w:eastAsia="微软雅黑"/>
          <w:sz w:val="24"/>
          <w:szCs w:val="24"/>
          <w:shd w:val="clear" w:color="auto" w:fill="FFFFFF"/>
        </w:rPr>
        <w:t>(</w:t>
      </w:r>
      <w:r>
        <w:rPr>
          <w:rFonts w:ascii="Times New Roman" w:hAnsi="Times New Roman"/>
          <w:sz w:val="24"/>
          <w:szCs w:val="24"/>
        </w:rPr>
        <w:t>2009</w:t>
      </w:r>
      <w:r>
        <w:rPr>
          <w:rFonts w:hint="eastAsia" w:ascii="Times New Roman" w:hAnsi="Times New Roman"/>
          <w:sz w:val="24"/>
          <w:szCs w:val="24"/>
        </w:rPr>
        <w:t>)</w:t>
      </w:r>
      <w:r>
        <w:rPr>
          <w:rFonts w:ascii="Times New Roman" w:hAnsi="Times New Roman"/>
          <w:sz w:val="24"/>
          <w:szCs w:val="24"/>
          <w:shd w:val="clear" w:color="auto" w:fill="FFFFFF"/>
        </w:rPr>
        <w:t xml:space="preserve">. Leaf trait diversification and design in seven rare taxa of the Hawaiian </w:t>
      </w:r>
      <w:r>
        <w:rPr>
          <w:rFonts w:ascii="Times New Roman" w:hAnsi="Times New Roman"/>
          <w:i/>
          <w:sz w:val="24"/>
          <w:szCs w:val="24"/>
          <w:shd w:val="clear" w:color="auto" w:fill="FFFFFF"/>
        </w:rPr>
        <w:t>Plantago</w:t>
      </w:r>
      <w:r>
        <w:rPr>
          <w:rFonts w:ascii="Times New Roman" w:hAnsi="Times New Roman"/>
          <w:sz w:val="24"/>
          <w:szCs w:val="24"/>
          <w:shd w:val="clear" w:color="auto" w:fill="FFFFFF"/>
        </w:rPr>
        <w:t xml:space="preserve"> radiation.</w:t>
      </w:r>
      <w:r>
        <w:rPr>
          <w:rFonts w:ascii="Times New Roman" w:hAnsi="Times New Roman"/>
          <w:iCs/>
          <w:sz w:val="24"/>
          <w:szCs w:val="24"/>
          <w:shd w:val="clear" w:color="auto" w:fill="FFFFFF"/>
        </w:rPr>
        <w:t xml:space="preserve"> </w:t>
      </w:r>
      <w:r>
        <w:rPr>
          <w:rFonts w:ascii="Times New Roman" w:hAnsi="Times New Roman"/>
          <w:i/>
          <w:sz w:val="24"/>
          <w:szCs w:val="24"/>
          <w:shd w:val="clear" w:color="auto" w:fill="FFFFFF"/>
        </w:rPr>
        <w:t>International Journal of Plant Science</w:t>
      </w:r>
      <w:r>
        <w:rPr>
          <w:rFonts w:hint="eastAsia" w:ascii="Times New Roman" w:hAnsi="Times New Roman"/>
          <w:i/>
          <w:sz w:val="24"/>
          <w:szCs w:val="24"/>
          <w:shd w:val="clear" w:color="auto" w:fill="FFFFFF"/>
        </w:rPr>
        <w:t xml:space="preserve"> </w:t>
      </w:r>
      <w:r>
        <w:rPr>
          <w:rFonts w:ascii="Times New Roman" w:hAnsi="Times New Roman"/>
          <w:sz w:val="24"/>
          <w:szCs w:val="24"/>
          <w:shd w:val="clear" w:color="auto" w:fill="FFFFFF"/>
        </w:rPr>
        <w:t>170(1):61-75.</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Duputié A, 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Salick, D</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McKey</w:t>
      </w:r>
      <w:r>
        <w:rPr>
          <w:rFonts w:hint="eastAsia" w:ascii="Times New Roman" w:hAnsi="Times New Roman"/>
          <w:sz w:val="24"/>
          <w:szCs w:val="24"/>
          <w:shd w:val="clear" w:color="auto" w:fill="FFFFFF"/>
        </w:rPr>
        <w:t xml:space="preserve"> (</w:t>
      </w:r>
      <w:r>
        <w:rPr>
          <w:rFonts w:ascii="Times New Roman" w:hAnsi="Times New Roman"/>
          <w:sz w:val="24"/>
          <w:szCs w:val="24"/>
        </w:rPr>
        <w:t>2011</w:t>
      </w:r>
      <w:r>
        <w:rPr>
          <w:rFonts w:hint="eastAsia" w:ascii="Times New Roman" w:hAnsi="Times New Roman"/>
          <w:sz w:val="24"/>
          <w:szCs w:val="24"/>
        </w:rPr>
        <w:t>)</w:t>
      </w:r>
      <w:r>
        <w:rPr>
          <w:rFonts w:ascii="Times New Roman" w:hAnsi="Times New Roman"/>
          <w:sz w:val="24"/>
          <w:szCs w:val="24"/>
          <w:shd w:val="clear" w:color="auto" w:fill="FFFFFF"/>
        </w:rPr>
        <w:t xml:space="preserve">. Evolutionary biogeography of Manihot (Euphorbiaceae), a rapidly radiating Neotropical genus restricted to dry environments. </w:t>
      </w:r>
      <w:r>
        <w:rPr>
          <w:rFonts w:ascii="Times New Roman" w:hAnsi="Times New Roman"/>
          <w:i/>
          <w:sz w:val="24"/>
          <w:szCs w:val="24"/>
          <w:shd w:val="clear" w:color="auto" w:fill="FFFFFF"/>
        </w:rPr>
        <w:t>Journal of Biogeography</w:t>
      </w:r>
      <w:r>
        <w:rPr>
          <w:rFonts w:hint="eastAsia" w:ascii="Times New Roman" w:hAnsi="Times New Roman"/>
          <w:i/>
          <w:sz w:val="24"/>
          <w:szCs w:val="24"/>
          <w:shd w:val="clear" w:color="auto" w:fill="FFFFFF"/>
        </w:rPr>
        <w:t xml:space="preserve"> </w:t>
      </w:r>
      <w:r>
        <w:rPr>
          <w:rFonts w:ascii="Times New Roman" w:hAnsi="Times New Roman"/>
          <w:sz w:val="24"/>
          <w:szCs w:val="24"/>
          <w:shd w:val="clear" w:color="auto" w:fill="FFFFFF"/>
        </w:rPr>
        <w:t>38(6): 1033-1043.</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Fan Z, A</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Bräuning, K</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Cao</w:t>
      </w:r>
      <w:r>
        <w:rPr>
          <w:rFonts w:hint="eastAsia" w:ascii="Times New Roman" w:hAnsi="Times New Roman"/>
          <w:sz w:val="24"/>
          <w:szCs w:val="24"/>
          <w:shd w:val="clear" w:color="auto" w:fill="FFFFFF"/>
        </w:rPr>
        <w:t xml:space="preserve"> (</w:t>
      </w:r>
      <w:r>
        <w:rPr>
          <w:rFonts w:ascii="Times New Roman" w:hAnsi="Times New Roman"/>
          <w:sz w:val="24"/>
          <w:szCs w:val="24"/>
        </w:rPr>
        <w:t>2008</w:t>
      </w:r>
      <w:r>
        <w:rPr>
          <w:rFonts w:hint="eastAsia" w:ascii="Times New Roman" w:hAnsi="Times New Roman"/>
          <w:sz w:val="24"/>
          <w:szCs w:val="24"/>
        </w:rPr>
        <w:t>)</w:t>
      </w:r>
      <w:r>
        <w:rPr>
          <w:rFonts w:ascii="Times New Roman" w:hAnsi="Times New Roman"/>
          <w:sz w:val="24"/>
          <w:szCs w:val="24"/>
          <w:shd w:val="clear" w:color="auto" w:fill="FFFFFF"/>
        </w:rPr>
        <w:t xml:space="preserve">. Annual temperature reconstruction in the central Hengduan Mountains, China, as deduced from tree rings. </w:t>
      </w:r>
      <w:r>
        <w:rPr>
          <w:rFonts w:ascii="Times New Roman" w:hAnsi="Times New Roman"/>
          <w:i/>
          <w:sz w:val="24"/>
          <w:szCs w:val="24"/>
          <w:shd w:val="clear" w:color="auto" w:fill="FFFFFF"/>
        </w:rPr>
        <w:t>Dendrochronologia</w:t>
      </w:r>
      <w:r>
        <w:rPr>
          <w:rFonts w:hint="eastAsia" w:ascii="Times New Roman" w:hAnsi="Times New Roman"/>
          <w:i/>
          <w:sz w:val="24"/>
          <w:szCs w:val="24"/>
          <w:shd w:val="clear" w:color="auto" w:fill="FFFFFF"/>
        </w:rPr>
        <w:t xml:space="preserve"> </w:t>
      </w:r>
      <w:r>
        <w:rPr>
          <w:rFonts w:ascii="Times New Roman" w:hAnsi="Times New Roman"/>
          <w:sz w:val="24"/>
          <w:szCs w:val="24"/>
          <w:shd w:val="clear" w:color="auto" w:fill="FFFFFF"/>
        </w:rPr>
        <w:t>26(2): 97-107.</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Fan Z, A</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Brauning, Q</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Tian, B</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Yang, K</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Cao</w:t>
      </w:r>
      <w:r>
        <w:rPr>
          <w:rFonts w:hint="eastAsia" w:ascii="Times New Roman" w:hAnsi="Times New Roman"/>
          <w:sz w:val="24"/>
          <w:szCs w:val="24"/>
          <w:shd w:val="clear" w:color="auto" w:fill="FFFFFF"/>
        </w:rPr>
        <w:t xml:space="preserve"> (</w:t>
      </w:r>
      <w:r>
        <w:rPr>
          <w:rFonts w:ascii="Times New Roman" w:hAnsi="Times New Roman"/>
          <w:sz w:val="24"/>
          <w:szCs w:val="24"/>
        </w:rPr>
        <w:t>2010</w:t>
      </w:r>
      <w:r>
        <w:rPr>
          <w:rFonts w:hint="eastAsia" w:ascii="Times New Roman" w:hAnsi="Times New Roman"/>
          <w:sz w:val="24"/>
          <w:szCs w:val="24"/>
        </w:rPr>
        <w:t>)</w:t>
      </w:r>
      <w:r>
        <w:rPr>
          <w:rFonts w:ascii="Times New Roman" w:hAnsi="Times New Roman"/>
          <w:sz w:val="24"/>
          <w:szCs w:val="24"/>
          <w:shd w:val="clear" w:color="auto" w:fill="FFFFFF"/>
        </w:rPr>
        <w:t xml:space="preserve">. Tree ring recorded May-August temperature variations since A.D. 1585 in the Gaoligong Mountains, southeastern Tibetan Plateau. </w:t>
      </w:r>
      <w:r>
        <w:rPr>
          <w:rFonts w:ascii="Times New Roman" w:hAnsi="Times New Roman"/>
          <w:i/>
          <w:sz w:val="24"/>
          <w:szCs w:val="24"/>
          <w:shd w:val="clear" w:color="auto" w:fill="FFFFFF"/>
        </w:rPr>
        <w:t>Palaeogeography Palaeoclimatology Palaeoecology</w:t>
      </w:r>
      <w:r>
        <w:rPr>
          <w:rFonts w:hint="eastAsia" w:ascii="Times New Roman" w:hAnsi="Times New Roman"/>
          <w:i/>
          <w:sz w:val="24"/>
          <w:szCs w:val="24"/>
          <w:shd w:val="clear" w:color="auto" w:fill="FFFFFF"/>
        </w:rPr>
        <w:t xml:space="preserve"> </w:t>
      </w:r>
      <w:r>
        <w:rPr>
          <w:rFonts w:ascii="Times New Roman" w:hAnsi="Times New Roman"/>
          <w:sz w:val="24"/>
          <w:szCs w:val="24"/>
          <w:shd w:val="clear" w:color="auto" w:fill="FFFFFF"/>
        </w:rPr>
        <w:t>296(1): 94-102.</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Feild TS, TJ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Brodribb, A</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Iglesias, DS</w:t>
      </w:r>
      <w:r>
        <w:rPr>
          <w:rFonts w:hint="eastAsia" w:ascii="Times New Roman" w:hAnsi="Times New Roman"/>
          <w:sz w:val="24"/>
          <w:szCs w:val="24"/>
          <w:shd w:val="clear" w:color="auto" w:fill="FFFFFF"/>
        </w:rPr>
        <w:t xml:space="preserve"> </w:t>
      </w:r>
      <w:r>
        <w:rPr>
          <w:rFonts w:ascii="Times New Roman" w:hAnsi="Times New Roman" w:eastAsia="Helvetica"/>
          <w:sz w:val="24"/>
          <w:szCs w:val="24"/>
          <w:shd w:val="clear" w:color="auto" w:fill="FFFFFF"/>
        </w:rPr>
        <w:t>Chatelet</w:t>
      </w:r>
      <w:r>
        <w:rPr>
          <w:rFonts w:ascii="Times New Roman" w:hAnsi="Times New Roman"/>
          <w:sz w:val="24"/>
          <w:szCs w:val="24"/>
          <w:shd w:val="clear" w:color="auto" w:fill="FFFFFF"/>
        </w:rPr>
        <w:t>, A</w:t>
      </w:r>
      <w:r>
        <w:rPr>
          <w:rFonts w:hint="eastAsia" w:ascii="Times New Roman" w:hAnsi="Times New Roman"/>
          <w:sz w:val="24"/>
          <w:szCs w:val="24"/>
          <w:shd w:val="clear" w:color="auto" w:fill="FFFFFF"/>
        </w:rPr>
        <w:t xml:space="preserve"> </w:t>
      </w:r>
      <w:r>
        <w:rPr>
          <w:rFonts w:ascii="Times New Roman" w:hAnsi="Times New Roman" w:eastAsia="Helvetica"/>
          <w:sz w:val="24"/>
          <w:szCs w:val="24"/>
          <w:shd w:val="clear" w:color="auto" w:fill="FFFFFF"/>
        </w:rPr>
        <w:t>Baresch</w:t>
      </w:r>
      <w:r>
        <w:rPr>
          <w:rFonts w:ascii="Times New Roman" w:hAnsi="Times New Roman"/>
          <w:sz w:val="24"/>
          <w:szCs w:val="24"/>
          <w:shd w:val="clear" w:color="auto" w:fill="FFFFFF"/>
        </w:rPr>
        <w:t>, GR</w:t>
      </w:r>
      <w:r>
        <w:rPr>
          <w:rFonts w:hint="eastAsia" w:ascii="Times New Roman" w:hAnsi="Times New Roman"/>
          <w:sz w:val="24"/>
          <w:szCs w:val="24"/>
          <w:shd w:val="clear" w:color="auto" w:fill="FFFFFF"/>
        </w:rPr>
        <w:t xml:space="preserve"> </w:t>
      </w:r>
      <w:r>
        <w:rPr>
          <w:rFonts w:ascii="Times New Roman" w:hAnsi="Times New Roman" w:eastAsia="Helvetica"/>
          <w:sz w:val="24"/>
          <w:szCs w:val="24"/>
          <w:shd w:val="clear" w:color="auto" w:fill="FFFFFF"/>
        </w:rPr>
        <w:t>Upchurch</w:t>
      </w:r>
      <w:r>
        <w:rPr>
          <w:rFonts w:ascii="Times New Roman" w:hAnsi="Times New Roman"/>
          <w:sz w:val="24"/>
          <w:szCs w:val="24"/>
          <w:shd w:val="clear" w:color="auto" w:fill="FFFFFF"/>
        </w:rPr>
        <w:t>, B</w:t>
      </w:r>
      <w:r>
        <w:rPr>
          <w:rFonts w:hint="eastAsia" w:ascii="Times New Roman" w:hAnsi="Times New Roman"/>
          <w:sz w:val="24"/>
          <w:szCs w:val="24"/>
          <w:shd w:val="clear" w:color="auto" w:fill="FFFFFF"/>
        </w:rPr>
        <w:t xml:space="preserve"> </w:t>
      </w:r>
      <w:r>
        <w:rPr>
          <w:rFonts w:ascii="Times New Roman" w:hAnsi="Times New Roman" w:eastAsia="Helvetica"/>
          <w:sz w:val="24"/>
          <w:szCs w:val="24"/>
          <w:shd w:val="clear" w:color="auto" w:fill="FFFFFF"/>
        </w:rPr>
        <w:t>Gomez</w:t>
      </w:r>
      <w:r>
        <w:rPr>
          <w:rFonts w:ascii="Times New Roman" w:hAnsi="Times New Roman"/>
          <w:sz w:val="24"/>
          <w:szCs w:val="24"/>
          <w:shd w:val="clear" w:color="auto" w:fill="FFFFFF"/>
        </w:rPr>
        <w:t>,  BA</w:t>
      </w:r>
      <w:r>
        <w:rPr>
          <w:rFonts w:hint="eastAsia" w:ascii="Times New Roman" w:hAnsi="Times New Roman"/>
          <w:sz w:val="24"/>
          <w:szCs w:val="24"/>
          <w:shd w:val="clear" w:color="auto" w:fill="FFFFFF"/>
        </w:rPr>
        <w:t xml:space="preserve"> </w:t>
      </w:r>
      <w:r>
        <w:rPr>
          <w:rFonts w:ascii="Times New Roman" w:hAnsi="Times New Roman" w:eastAsia="Helvetica"/>
          <w:sz w:val="24"/>
          <w:szCs w:val="24"/>
          <w:shd w:val="clear" w:color="auto" w:fill="FFFFFF"/>
        </w:rPr>
        <w:t>Mohr</w:t>
      </w:r>
      <w:r>
        <w:rPr>
          <w:rFonts w:ascii="Times New Roman" w:hAnsi="Times New Roman"/>
          <w:sz w:val="24"/>
          <w:szCs w:val="24"/>
          <w:shd w:val="clear" w:color="auto" w:fill="FFFFFF"/>
        </w:rPr>
        <w:t>, C</w:t>
      </w:r>
      <w:r>
        <w:rPr>
          <w:rFonts w:hint="eastAsia" w:ascii="Times New Roman" w:hAnsi="Times New Roman"/>
          <w:sz w:val="24"/>
          <w:szCs w:val="24"/>
          <w:shd w:val="clear" w:color="auto" w:fill="FFFFFF"/>
        </w:rPr>
        <w:t xml:space="preserve"> </w:t>
      </w:r>
      <w:r>
        <w:rPr>
          <w:rFonts w:ascii="Times New Roman" w:hAnsi="Times New Roman" w:eastAsia="Helvetica"/>
          <w:sz w:val="24"/>
          <w:szCs w:val="24"/>
          <w:shd w:val="clear" w:color="auto" w:fill="FFFFFF"/>
        </w:rPr>
        <w:t>Coiffard</w:t>
      </w:r>
      <w:r>
        <w:rPr>
          <w:rFonts w:ascii="Times New Roman" w:hAnsi="Times New Roman"/>
          <w:sz w:val="24"/>
          <w:szCs w:val="24"/>
          <w:shd w:val="clear" w:color="auto" w:fill="FFFFFF"/>
        </w:rPr>
        <w:t xml:space="preserve">, </w:t>
      </w:r>
      <w:r>
        <w:rPr>
          <w:rFonts w:ascii="Times New Roman" w:hAnsi="Times New Roman" w:eastAsia="Helvetica"/>
          <w:sz w:val="24"/>
          <w:szCs w:val="24"/>
          <w:shd w:val="clear" w:color="auto" w:fill="FFFFFF"/>
        </w:rPr>
        <w:t>Kvacek</w:t>
      </w:r>
      <w:r>
        <w:rPr>
          <w:rFonts w:ascii="Times New Roman" w:hAnsi="Times New Roman"/>
          <w:sz w:val="24"/>
          <w:szCs w:val="24"/>
          <w:shd w:val="clear" w:color="auto" w:fill="FFFFFF"/>
        </w:rPr>
        <w:t>,et al.</w:t>
      </w:r>
      <w:r>
        <w:rPr>
          <w:rFonts w:hint="eastAsia" w:ascii="Times New Roman" w:hAnsi="Times New Roman"/>
          <w:sz w:val="24"/>
          <w:szCs w:val="24"/>
          <w:shd w:val="clear" w:color="auto" w:fill="FFFFFF"/>
        </w:rPr>
        <w:t xml:space="preserve"> (</w:t>
      </w:r>
      <w:r>
        <w:rPr>
          <w:rFonts w:ascii="Times New Roman" w:hAnsi="Times New Roman"/>
          <w:sz w:val="24"/>
          <w:szCs w:val="24"/>
        </w:rPr>
        <w:t>2011</w:t>
      </w:r>
      <w:r>
        <w:rPr>
          <w:rFonts w:hint="eastAsia" w:ascii="Times New Roman" w:hAnsi="Times New Roman"/>
          <w:sz w:val="24"/>
          <w:szCs w:val="24"/>
        </w:rPr>
        <w:t>)</w:t>
      </w:r>
      <w:r>
        <w:rPr>
          <w:rFonts w:ascii="Times New Roman" w:hAnsi="Times New Roman"/>
          <w:sz w:val="24"/>
          <w:szCs w:val="24"/>
          <w:shd w:val="clear" w:color="auto" w:fill="FFFFFF"/>
        </w:rPr>
        <w:t xml:space="preserve">. Fossil evidence for Cretaceous escalation in angiosperm leaf vein evolution. </w:t>
      </w:r>
      <w:r>
        <w:rPr>
          <w:rFonts w:ascii="Times New Roman" w:hAnsi="Times New Roman"/>
          <w:i/>
          <w:sz w:val="24"/>
          <w:szCs w:val="24"/>
          <w:shd w:val="clear" w:color="auto" w:fill="FFFFFF"/>
        </w:rPr>
        <w:t>Proceedings of the National Academy of Sciences of the United States of America</w:t>
      </w:r>
      <w:r>
        <w:rPr>
          <w:rFonts w:hint="eastAsia" w:ascii="Times New Roman" w:hAnsi="Times New Roman"/>
          <w:i/>
          <w:sz w:val="24"/>
          <w:szCs w:val="24"/>
          <w:shd w:val="clear" w:color="auto" w:fill="FFFFFF"/>
        </w:rPr>
        <w:t xml:space="preserve"> </w:t>
      </w:r>
      <w:r>
        <w:rPr>
          <w:rFonts w:ascii="Times New Roman" w:hAnsi="Times New Roman"/>
          <w:sz w:val="24"/>
          <w:szCs w:val="24"/>
          <w:shd w:val="clear" w:color="auto" w:fill="FFFFFF"/>
        </w:rPr>
        <w:t>108(20): 8363-8366.</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Franks PJ, DJ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Beerling</w:t>
      </w:r>
      <w:r>
        <w:rPr>
          <w:rFonts w:hint="eastAsia" w:ascii="Times New Roman" w:hAnsi="Times New Roman"/>
          <w:sz w:val="24"/>
          <w:szCs w:val="24"/>
          <w:shd w:val="clear" w:color="auto" w:fill="FFFFFF"/>
        </w:rPr>
        <w:t xml:space="preserve"> (</w:t>
      </w:r>
      <w:r>
        <w:rPr>
          <w:rFonts w:ascii="Times New Roman" w:hAnsi="Times New Roman"/>
          <w:sz w:val="24"/>
          <w:szCs w:val="24"/>
        </w:rPr>
        <w:t>2009</w:t>
      </w:r>
      <w:r>
        <w:rPr>
          <w:rFonts w:hint="eastAsia" w:ascii="Times New Roman" w:hAnsi="Times New Roman"/>
          <w:sz w:val="24"/>
          <w:szCs w:val="24"/>
        </w:rPr>
        <w:t>)</w:t>
      </w:r>
      <w:r>
        <w:rPr>
          <w:rFonts w:ascii="Times New Roman" w:hAnsi="Times New Roman"/>
          <w:sz w:val="24"/>
          <w:szCs w:val="24"/>
          <w:shd w:val="clear" w:color="auto" w:fill="FFFFFF"/>
        </w:rPr>
        <w:t>. Maximum leaf conductance driven by CO</w:t>
      </w:r>
      <w:r>
        <w:rPr>
          <w:rFonts w:ascii="Times New Roman" w:hAnsi="Times New Roman"/>
          <w:sz w:val="24"/>
          <w:szCs w:val="24"/>
          <w:shd w:val="clear" w:color="auto" w:fill="FFFFFF"/>
          <w:vertAlign w:val="subscript"/>
        </w:rPr>
        <w:t>2</w:t>
      </w:r>
      <w:r>
        <w:rPr>
          <w:rFonts w:ascii="Times New Roman" w:hAnsi="Times New Roman"/>
          <w:sz w:val="24"/>
          <w:szCs w:val="24"/>
          <w:shd w:val="clear" w:color="auto" w:fill="FFFFFF"/>
        </w:rPr>
        <w:t xml:space="preserve"> effects on stomatal size and density over geologic time. </w:t>
      </w:r>
      <w:r>
        <w:rPr>
          <w:rFonts w:ascii="Times New Roman" w:hAnsi="Times New Roman"/>
          <w:i/>
          <w:sz w:val="24"/>
          <w:szCs w:val="24"/>
          <w:shd w:val="clear" w:color="auto" w:fill="FFFFFF"/>
        </w:rPr>
        <w:t>Proceedings of the National Academy of Sciences of the United States of America</w:t>
      </w:r>
      <w:r>
        <w:rPr>
          <w:rFonts w:hint="eastAsia" w:ascii="Times New Roman" w:hAnsi="Times New Roman"/>
          <w:i/>
          <w:sz w:val="24"/>
          <w:szCs w:val="24"/>
          <w:shd w:val="clear" w:color="auto" w:fill="FFFFFF"/>
        </w:rPr>
        <w:t xml:space="preserve"> </w:t>
      </w:r>
      <w:r>
        <w:rPr>
          <w:rFonts w:ascii="Times New Roman" w:hAnsi="Times New Roman"/>
          <w:iCs/>
          <w:sz w:val="24"/>
          <w:szCs w:val="24"/>
          <w:shd w:val="clear" w:color="auto" w:fill="FFFFFF"/>
        </w:rPr>
        <w:t>106(25)</w:t>
      </w:r>
      <w:r>
        <w:rPr>
          <w:rFonts w:ascii="Times New Roman" w:hAnsi="Times New Roman"/>
          <w:sz w:val="24"/>
          <w:szCs w:val="24"/>
          <w:shd w:val="clear" w:color="auto" w:fill="FFFFFF"/>
        </w:rPr>
        <w:t>: 10343-10347.</w:t>
      </w:r>
    </w:p>
    <w:p>
      <w:pPr>
        <w:spacing w:line="480" w:lineRule="auto"/>
        <w:ind w:left="480" w:hanging="480" w:hangingChars="200"/>
        <w:rPr>
          <w:rFonts w:ascii="Times New Roman" w:hAnsi="Times New Roman"/>
          <w:sz w:val="24"/>
          <w:szCs w:val="24"/>
        </w:rPr>
      </w:pPr>
      <w:r>
        <w:rPr>
          <w:rFonts w:ascii="Times New Roman" w:hAnsi="Times New Roman"/>
          <w:sz w:val="24"/>
          <w:szCs w:val="24"/>
        </w:rPr>
        <w:t>Guo X, WH</w:t>
      </w:r>
      <w:r>
        <w:rPr>
          <w:rFonts w:hint="eastAsia" w:ascii="Times New Roman" w:hAnsi="Times New Roman"/>
          <w:sz w:val="24"/>
          <w:szCs w:val="24"/>
        </w:rPr>
        <w:t xml:space="preserve"> </w:t>
      </w:r>
      <w:r>
        <w:rPr>
          <w:rFonts w:ascii="Times New Roman" w:hAnsi="Times New Roman"/>
          <w:sz w:val="24"/>
          <w:szCs w:val="24"/>
        </w:rPr>
        <w:t>Guo, YJ</w:t>
      </w:r>
      <w:r>
        <w:rPr>
          <w:rFonts w:hint="eastAsia" w:ascii="Times New Roman" w:hAnsi="Times New Roman"/>
          <w:sz w:val="24"/>
          <w:szCs w:val="24"/>
        </w:rPr>
        <w:t xml:space="preserve"> </w:t>
      </w:r>
      <w:r>
        <w:rPr>
          <w:rFonts w:ascii="Times New Roman" w:hAnsi="Times New Roman"/>
          <w:sz w:val="24"/>
          <w:szCs w:val="24"/>
        </w:rPr>
        <w:t>Luo, XF Tan, N</w:t>
      </w:r>
      <w:r>
        <w:rPr>
          <w:rFonts w:hint="eastAsia" w:ascii="Times New Roman" w:hAnsi="Times New Roman"/>
          <w:sz w:val="24"/>
          <w:szCs w:val="24"/>
        </w:rPr>
        <w:t xml:space="preserve"> </w:t>
      </w:r>
      <w:r>
        <w:rPr>
          <w:rFonts w:ascii="Times New Roman" w:hAnsi="Times New Roman"/>
          <w:sz w:val="24"/>
          <w:szCs w:val="24"/>
        </w:rPr>
        <w:t>Du, RQ</w:t>
      </w:r>
      <w:r>
        <w:rPr>
          <w:rFonts w:hint="eastAsia" w:ascii="Times New Roman" w:hAnsi="Times New Roman"/>
          <w:sz w:val="24"/>
          <w:szCs w:val="24"/>
        </w:rPr>
        <w:t xml:space="preserve"> </w:t>
      </w:r>
      <w:r>
        <w:rPr>
          <w:rFonts w:ascii="Times New Roman" w:hAnsi="Times New Roman"/>
          <w:sz w:val="24"/>
          <w:szCs w:val="24"/>
        </w:rPr>
        <w:t>Wang</w:t>
      </w:r>
      <w:r>
        <w:rPr>
          <w:rFonts w:hint="eastAsia" w:ascii="Times New Roman" w:hAnsi="Times New Roman"/>
          <w:sz w:val="24"/>
          <w:szCs w:val="24"/>
        </w:rPr>
        <w:t xml:space="preserve"> (</w:t>
      </w:r>
      <w:r>
        <w:rPr>
          <w:rFonts w:ascii="Times New Roman" w:hAnsi="Times New Roman"/>
          <w:sz w:val="24"/>
          <w:szCs w:val="24"/>
        </w:rPr>
        <w:t>2013</w:t>
      </w:r>
      <w:r>
        <w:rPr>
          <w:rFonts w:hint="eastAsia" w:ascii="Times New Roman" w:hAnsi="Times New Roman"/>
          <w:sz w:val="24"/>
          <w:szCs w:val="24"/>
        </w:rPr>
        <w:t>)</w:t>
      </w:r>
      <w:r>
        <w:rPr>
          <w:rFonts w:ascii="Times New Roman" w:hAnsi="Times New Roman"/>
          <w:sz w:val="24"/>
          <w:szCs w:val="24"/>
        </w:rPr>
        <w:t>. Morphological and biomass characteristic acclimation of trident maple (</w:t>
      </w:r>
      <w:r>
        <w:rPr>
          <w:rFonts w:ascii="Times New Roman" w:hAnsi="Times New Roman"/>
          <w:i/>
          <w:sz w:val="24"/>
          <w:szCs w:val="24"/>
        </w:rPr>
        <w:t>Acer buergerianum</w:t>
      </w:r>
      <w:r>
        <w:rPr>
          <w:rFonts w:ascii="Times New Roman" w:hAnsi="Times New Roman"/>
          <w:sz w:val="24"/>
          <w:szCs w:val="24"/>
        </w:rPr>
        <w:t xml:space="preserve"> Miq.) in response to light and water stress. </w:t>
      </w:r>
      <w:r>
        <w:rPr>
          <w:rFonts w:ascii="Times New Roman" w:hAnsi="Times New Roman"/>
          <w:i/>
          <w:sz w:val="24"/>
          <w:szCs w:val="24"/>
        </w:rPr>
        <w:t>Acta Physiologiae Plantarum</w:t>
      </w:r>
      <w:r>
        <w:rPr>
          <w:rFonts w:hint="eastAsia" w:ascii="Times New Roman" w:hAnsi="Times New Roman"/>
          <w:i/>
          <w:sz w:val="24"/>
          <w:szCs w:val="24"/>
        </w:rPr>
        <w:t xml:space="preserve"> </w:t>
      </w:r>
      <w:r>
        <w:rPr>
          <w:rFonts w:ascii="Times New Roman" w:hAnsi="Times New Roman"/>
          <w:sz w:val="24"/>
          <w:szCs w:val="24"/>
        </w:rPr>
        <w:t>35(4): 1149-1159.</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Harte J, A</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Ostling, JL</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Green, A</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Kinzig</w:t>
      </w:r>
      <w:r>
        <w:rPr>
          <w:rFonts w:hint="eastAsia" w:ascii="Times New Roman" w:hAnsi="Times New Roman"/>
          <w:sz w:val="24"/>
          <w:szCs w:val="24"/>
          <w:shd w:val="clear" w:color="auto" w:fill="FFFFFF"/>
        </w:rPr>
        <w:t xml:space="preserve"> (</w:t>
      </w:r>
      <w:r>
        <w:rPr>
          <w:rFonts w:ascii="Times New Roman" w:hAnsi="Times New Roman"/>
          <w:sz w:val="24"/>
          <w:szCs w:val="24"/>
        </w:rPr>
        <w:t>2004</w:t>
      </w:r>
      <w:r>
        <w:rPr>
          <w:rFonts w:hint="eastAsia" w:ascii="Times New Roman" w:hAnsi="Times New Roman"/>
          <w:sz w:val="24"/>
          <w:szCs w:val="24"/>
        </w:rPr>
        <w:t>)</w:t>
      </w:r>
      <w:r>
        <w:rPr>
          <w:rFonts w:ascii="Times New Roman" w:hAnsi="Times New Roman"/>
          <w:sz w:val="24"/>
          <w:szCs w:val="24"/>
          <w:shd w:val="clear" w:color="auto" w:fill="FFFFFF"/>
        </w:rPr>
        <w:t xml:space="preserve">. Climate change and extinction risk. </w:t>
      </w:r>
      <w:r>
        <w:rPr>
          <w:rFonts w:ascii="Times New Roman" w:hAnsi="Times New Roman"/>
          <w:i/>
          <w:sz w:val="24"/>
          <w:szCs w:val="24"/>
          <w:shd w:val="clear" w:color="auto" w:fill="FFFFFF"/>
        </w:rPr>
        <w:t>Nature</w:t>
      </w:r>
      <w:r>
        <w:rPr>
          <w:rFonts w:hint="eastAsia" w:ascii="Times New Roman" w:hAnsi="Times New Roman"/>
          <w:i/>
          <w:sz w:val="24"/>
          <w:szCs w:val="24"/>
          <w:shd w:val="clear" w:color="auto" w:fill="FFFFFF"/>
        </w:rPr>
        <w:t xml:space="preserve"> </w:t>
      </w:r>
      <w:r>
        <w:rPr>
          <w:rFonts w:ascii="Times New Roman" w:hAnsi="Times New Roman"/>
          <w:sz w:val="24"/>
          <w:szCs w:val="24"/>
          <w:shd w:val="clear" w:color="auto" w:fill="FFFFFF"/>
        </w:rPr>
        <w:t>430: 34-34.</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Haworth M, CP</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Scutt, C</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Douthe,</w:t>
      </w:r>
      <w:r>
        <w:rPr>
          <w:rStyle w:val="5"/>
          <w:rFonts w:ascii="Times New Roman" w:hAnsi="Times New Roman" w:eastAsia="微软雅黑"/>
          <w:color w:val="auto"/>
          <w:sz w:val="24"/>
          <w:szCs w:val="24"/>
          <w:u w:val="none"/>
        </w:rPr>
        <w:t xml:space="preserve"> G</w:t>
      </w:r>
      <w:r>
        <w:rPr>
          <w:rStyle w:val="5"/>
          <w:rFonts w:hint="eastAsia" w:ascii="Times New Roman" w:hAnsi="Times New Roman" w:eastAsia="微软雅黑"/>
          <w:color w:val="auto"/>
          <w:sz w:val="24"/>
          <w:szCs w:val="24"/>
          <w:u w:val="none"/>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"https://xueshu.baidu.com/s?wd=author:(Marino,%20Giovanni)%20&amp;tn=SE_baiduxueshu_c1gjeupa&amp;ie=utf-8&amp;sc_f_para=sc_hilight=person"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Marino,</w:t>
      </w:r>
      <w:r>
        <w:rPr>
          <w:rStyle w:val="5"/>
          <w:rFonts w:ascii="Times New Roman" w:hAnsi="Times New Roman" w:eastAsia="微软雅黑"/>
          <w:color w:val="auto"/>
          <w:sz w:val="24"/>
          <w:szCs w:val="24"/>
          <w:u w:val="none"/>
        </w:rPr>
        <w:fldChar w:fldCharType="end"/>
      </w:r>
      <w:r>
        <w:rPr>
          <w:rStyle w:val="5"/>
          <w:rFonts w:hint="eastAsia" w:ascii="Times New Roman" w:hAnsi="Times New Roman" w:eastAsia="微软雅黑"/>
          <w:color w:val="auto"/>
          <w:sz w:val="24"/>
          <w:szCs w:val="24"/>
          <w:u w:val="none"/>
        </w:rPr>
        <w:t xml:space="preserve"> </w:t>
      </w:r>
      <w:r>
        <w:rPr>
          <w:rFonts w:hint="eastAsia" w:ascii="Times New Roman" w:hAnsi="Times New Roman" w:eastAsia="微软雅黑"/>
          <w:sz w:val="24"/>
          <w:szCs w:val="24"/>
        </w:rPr>
        <w:t xml:space="preserve">MTG </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"https://xueshu.baidu.com/s?wd=author:(Gomes,%20Marcos%20Thiago%20Gaudio)%20&amp;tn=SE_baiduxueshu_c1gjeupa&amp;ie=utf-8&amp;sc_f_para=sc_hilight=person"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Gomes</w:t>
      </w:r>
      <w:r>
        <w:rPr>
          <w:rStyle w:val="5"/>
          <w:rFonts w:ascii="Times New Roman" w:hAnsi="Times New Roman" w:eastAsia="微软雅黑"/>
          <w:color w:val="auto"/>
          <w:sz w:val="24"/>
          <w:szCs w:val="24"/>
          <w:u w:val="none"/>
        </w:rPr>
        <w:fldChar w:fldCharType="end"/>
      </w:r>
      <w:r>
        <w:rPr>
          <w:rFonts w:hint="eastAsia" w:ascii="Times New Roman" w:hAnsi="Times New Roman" w:eastAsia="微软雅黑"/>
          <w:sz w:val="24"/>
          <w:szCs w:val="24"/>
        </w:rPr>
        <w:t>,</w:t>
      </w:r>
      <w:r>
        <w:rPr>
          <w:rStyle w:val="5"/>
          <w:rFonts w:ascii="Times New Roman" w:hAnsi="Times New Roman" w:eastAsia="微软雅黑"/>
          <w:color w:val="auto"/>
          <w:sz w:val="24"/>
          <w:szCs w:val="24"/>
          <w:u w:val="none"/>
        </w:rPr>
        <w:t xml:space="preserve"> F</w:t>
      </w:r>
      <w:r>
        <w:rPr>
          <w:rStyle w:val="5"/>
          <w:rFonts w:hint="eastAsia" w:ascii="Times New Roman" w:hAnsi="Times New Roman" w:eastAsia="微软雅黑"/>
          <w:color w:val="auto"/>
          <w:sz w:val="24"/>
          <w:szCs w:val="24"/>
          <w:u w:val="none"/>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"https://xueshu.baidu.com/s?wd=author:(Loreto,%20Francesco)%20&amp;tn=SE_baiduxueshu_c1gjeupa&amp;ie=utf-8&amp;sc_f_para=sc_hilight=person"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Loreto</w:t>
      </w:r>
      <w:r>
        <w:rPr>
          <w:rStyle w:val="5"/>
          <w:rFonts w:ascii="Times New Roman" w:hAnsi="Times New Roman" w:eastAsia="微软雅黑"/>
          <w:color w:val="auto"/>
          <w:sz w:val="24"/>
          <w:szCs w:val="24"/>
          <w:u w:val="none"/>
        </w:rPr>
        <w:fldChar w:fldCharType="end"/>
      </w:r>
      <w:r>
        <w:rPr>
          <w:rFonts w:hint="eastAsia" w:ascii="Times New Roman" w:hAnsi="Times New Roman" w:eastAsia="微软雅黑"/>
          <w:sz w:val="24"/>
          <w:szCs w:val="24"/>
        </w:rPr>
        <w:t>,</w:t>
      </w:r>
      <w:r>
        <w:rPr>
          <w:rStyle w:val="5"/>
          <w:rFonts w:ascii="Times New Roman" w:hAnsi="Times New Roman" w:eastAsia="微软雅黑"/>
          <w:color w:val="auto"/>
          <w:sz w:val="24"/>
          <w:szCs w:val="24"/>
          <w:u w:val="none"/>
        </w:rPr>
        <w:t xml:space="preserve"> J</w:t>
      </w:r>
      <w:r>
        <w:rPr>
          <w:rStyle w:val="5"/>
          <w:rFonts w:hint="eastAsia" w:ascii="Times New Roman" w:hAnsi="Times New Roman" w:eastAsia="微软雅黑"/>
          <w:color w:val="auto"/>
          <w:sz w:val="24"/>
          <w:szCs w:val="24"/>
          <w:u w:val="none"/>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"https://xueshu.baidu.com/s?wd=author:(Flexas,%20Jaume)%20&amp;tn=SE_baiduxueshu_c1gjeupa&amp;ie=utf-8&amp;sc_f_para=sc_hilight=person"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Flexas</w:t>
      </w:r>
      <w:r>
        <w:rPr>
          <w:rStyle w:val="5"/>
          <w:rFonts w:ascii="Times New Roman" w:hAnsi="Times New Roman" w:eastAsia="微软雅黑"/>
          <w:color w:val="auto"/>
          <w:sz w:val="24"/>
          <w:szCs w:val="24"/>
          <w:u w:val="none"/>
        </w:rPr>
        <w:fldChar w:fldCharType="end"/>
      </w:r>
      <w:r>
        <w:rPr>
          <w:rFonts w:hint="eastAsia" w:ascii="Times New Roman" w:hAnsi="Times New Roman" w:eastAsia="微软雅黑"/>
          <w:sz w:val="24"/>
          <w:szCs w:val="24"/>
        </w:rPr>
        <w:t xml:space="preserve">, </w:t>
      </w:r>
      <w:r>
        <w:rPr>
          <w:rStyle w:val="5"/>
          <w:rFonts w:ascii="Times New Roman" w:hAnsi="Times New Roman" w:eastAsia="微软雅黑"/>
          <w:color w:val="auto"/>
          <w:sz w:val="24"/>
          <w:szCs w:val="24"/>
          <w:u w:val="none"/>
        </w:rPr>
        <w:t>M</w:t>
      </w:r>
      <w:r>
        <w:rPr>
          <w:rStyle w:val="5"/>
          <w:rFonts w:hint="eastAsia" w:ascii="Times New Roman" w:hAnsi="Times New Roman" w:eastAsia="微软雅黑"/>
          <w:color w:val="auto"/>
          <w:sz w:val="24"/>
          <w:szCs w:val="24"/>
          <w:u w:val="none"/>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"https://xueshu.baidu.com/s?wd=author:(Centritto,%20Mauro)%20&amp;tn=SE_baiduxueshu_c1gjeupa&amp;ie=utf-8&amp;sc_f_para=sc_hilight=person"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Centritto</w:t>
      </w:r>
      <w:r>
        <w:rPr>
          <w:rStyle w:val="5"/>
          <w:rFonts w:ascii="Times New Roman" w:hAnsi="Times New Roman" w:eastAsia="微软雅黑"/>
          <w:color w:val="auto"/>
          <w:sz w:val="24"/>
          <w:szCs w:val="24"/>
          <w:u w:val="none"/>
        </w:rPr>
        <w:fldChar w:fldCharType="end"/>
      </w:r>
      <w:r>
        <w:rPr>
          <w:rStyle w:val="5"/>
          <w:rFonts w:hint="eastAsia" w:ascii="Times New Roman" w:hAnsi="Times New Roman" w:eastAsia="微软雅黑"/>
          <w:color w:val="auto"/>
          <w:sz w:val="24"/>
          <w:szCs w:val="24"/>
          <w:u w:val="none"/>
        </w:rPr>
        <w:t xml:space="preserve"> </w:t>
      </w:r>
      <w:r>
        <w:rPr>
          <w:rFonts w:hint="eastAsia" w:ascii="Times New Roman" w:hAnsi="Times New Roman" w:eastAsia="微软雅黑"/>
          <w:sz w:val="24"/>
          <w:szCs w:val="24"/>
          <w:u w:val="single"/>
        </w:rPr>
        <w:t>(</w:t>
      </w:r>
      <w:r>
        <w:rPr>
          <w:rFonts w:ascii="Times New Roman" w:hAnsi="Times New Roman"/>
          <w:sz w:val="24"/>
          <w:szCs w:val="24"/>
        </w:rPr>
        <w:t>2018</w:t>
      </w:r>
      <w:r>
        <w:rPr>
          <w:rFonts w:hint="eastAsia" w:ascii="Times New Roman" w:hAnsi="Times New Roman"/>
          <w:sz w:val="24"/>
          <w:szCs w:val="24"/>
        </w:rPr>
        <w:t>)</w:t>
      </w:r>
      <w:r>
        <w:rPr>
          <w:rFonts w:ascii="Times New Roman" w:hAnsi="Times New Roman"/>
          <w:sz w:val="24"/>
          <w:szCs w:val="24"/>
          <w:shd w:val="clear" w:color="auto" w:fill="FFFFFF"/>
        </w:rPr>
        <w:t xml:space="preserve">. Allocation of the epidermis to stomata relates to stomatal physiological control: stomatal factors involved in the evolutionary diversification of the angiosperms and development of amphistomaty. </w:t>
      </w:r>
      <w:r>
        <w:rPr>
          <w:rFonts w:ascii="Times New Roman" w:hAnsi="Times New Roman"/>
          <w:i/>
          <w:iCs/>
          <w:sz w:val="24"/>
          <w:szCs w:val="24"/>
          <w:shd w:val="clear" w:color="auto" w:fill="FFFFFF"/>
        </w:rPr>
        <w:t>Environmental and Experimental Botanty</w:t>
      </w:r>
      <w:r>
        <w:rPr>
          <w:rFonts w:ascii="Times New Roman" w:hAnsi="Times New Roman"/>
          <w:iCs/>
          <w:sz w:val="24"/>
          <w:szCs w:val="24"/>
          <w:shd w:val="clear" w:color="auto" w:fill="FFFFFF"/>
        </w:rPr>
        <w:t xml:space="preserve"> 151</w:t>
      </w:r>
      <w:r>
        <w:rPr>
          <w:rFonts w:ascii="Times New Roman" w:hAnsi="Times New Roman"/>
          <w:sz w:val="24"/>
          <w:szCs w:val="24"/>
          <w:shd w:val="clear" w:color="auto" w:fill="FFFFFF"/>
        </w:rPr>
        <w:t>: 55-63.</w:t>
      </w:r>
    </w:p>
    <w:p>
      <w:pPr>
        <w:spacing w:line="480" w:lineRule="auto"/>
        <w:ind w:left="480" w:hanging="480" w:hangingChars="200"/>
        <w:rPr>
          <w:rFonts w:ascii="Times New Roman" w:hAnsi="Times New Roman"/>
          <w:sz w:val="24"/>
          <w:szCs w:val="24"/>
        </w:rPr>
      </w:pPr>
      <w:r>
        <w:rPr>
          <w:rFonts w:ascii="Times New Roman" w:hAnsi="Times New Roman"/>
          <w:sz w:val="24"/>
          <w:szCs w:val="24"/>
        </w:rPr>
        <w:t>Hill K, RS</w:t>
      </w:r>
      <w:r>
        <w:rPr>
          <w:rFonts w:hint="eastAsia" w:ascii="Times New Roman" w:hAnsi="Times New Roman"/>
          <w:sz w:val="24"/>
          <w:szCs w:val="24"/>
        </w:rPr>
        <w:t xml:space="preserve"> </w:t>
      </w:r>
      <w:r>
        <w:rPr>
          <w:rFonts w:ascii="Times New Roman" w:hAnsi="Times New Roman"/>
          <w:sz w:val="24"/>
          <w:szCs w:val="24"/>
        </w:rPr>
        <w:t>Hill,</w:t>
      </w:r>
      <w:r>
        <w:rPr>
          <w:rFonts w:hint="eastAsia" w:ascii="Times New Roman" w:hAnsi="Times New Roman"/>
          <w:sz w:val="24"/>
          <w:szCs w:val="24"/>
        </w:rPr>
        <w:t xml:space="preserve"> </w:t>
      </w:r>
      <w:r>
        <w:rPr>
          <w:rFonts w:ascii="Times New Roman" w:hAnsi="Times New Roman"/>
          <w:sz w:val="24"/>
          <w:szCs w:val="24"/>
        </w:rPr>
        <w:t>JR</w:t>
      </w:r>
      <w:r>
        <w:rPr>
          <w:rFonts w:hint="eastAsia" w:ascii="Times New Roman" w:hAnsi="Times New Roman"/>
          <w:sz w:val="24"/>
          <w:szCs w:val="24"/>
        </w:rPr>
        <w:t xml:space="preserve"> </w:t>
      </w:r>
      <w:r>
        <w:rPr>
          <w:rFonts w:ascii="Times New Roman" w:hAnsi="Times New Roman"/>
          <w:sz w:val="24"/>
          <w:szCs w:val="24"/>
        </w:rPr>
        <w:t>Watling</w:t>
      </w:r>
      <w:r>
        <w:rPr>
          <w:rFonts w:hint="eastAsia" w:ascii="Times New Roman" w:hAnsi="Times New Roman"/>
          <w:sz w:val="24"/>
          <w:szCs w:val="24"/>
        </w:rPr>
        <w:t xml:space="preserve"> (</w:t>
      </w:r>
      <w:r>
        <w:rPr>
          <w:rFonts w:ascii="Times New Roman" w:hAnsi="Times New Roman"/>
          <w:sz w:val="24"/>
          <w:szCs w:val="24"/>
        </w:rPr>
        <w:t>2014</w:t>
      </w:r>
      <w:r>
        <w:rPr>
          <w:rFonts w:hint="eastAsia" w:ascii="Times New Roman" w:hAnsi="Times New Roman"/>
          <w:sz w:val="24"/>
          <w:szCs w:val="24"/>
        </w:rPr>
        <w:t>)</w:t>
      </w:r>
      <w:r>
        <w:rPr>
          <w:rFonts w:ascii="Times New Roman" w:hAnsi="Times New Roman"/>
          <w:sz w:val="24"/>
          <w:szCs w:val="24"/>
        </w:rPr>
        <w:t>. Do CO</w:t>
      </w:r>
      <w:r>
        <w:rPr>
          <w:rFonts w:ascii="Times New Roman" w:hAnsi="Times New Roman"/>
          <w:sz w:val="24"/>
          <w:szCs w:val="24"/>
          <w:vertAlign w:val="subscript"/>
        </w:rPr>
        <w:t>2</w:t>
      </w:r>
      <w:r>
        <w:rPr>
          <w:rFonts w:ascii="Times New Roman" w:hAnsi="Times New Roman"/>
          <w:sz w:val="24"/>
          <w:szCs w:val="24"/>
        </w:rPr>
        <w:t xml:space="preserve">, temperature, rainfall and elevation influence stomatal traits and leaf width in Melaleuca lanceolata across southern Australia? </w:t>
      </w:r>
      <w:r>
        <w:rPr>
          <w:rFonts w:ascii="Times New Roman" w:hAnsi="Times New Roman"/>
          <w:i/>
          <w:sz w:val="24"/>
          <w:szCs w:val="24"/>
        </w:rPr>
        <w:t xml:space="preserve">Australian Journal of Botanty </w:t>
      </w:r>
      <w:r>
        <w:rPr>
          <w:rFonts w:ascii="Times New Roman" w:hAnsi="Times New Roman"/>
          <w:sz w:val="24"/>
          <w:szCs w:val="24"/>
        </w:rPr>
        <w:t>62(8): 666-673.</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Hill KE, GR</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Guerin, RS</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Hill, 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Watling</w:t>
      </w:r>
      <w:r>
        <w:rPr>
          <w:rFonts w:hint="eastAsia" w:ascii="Times New Roman" w:hAnsi="Times New Roman"/>
          <w:sz w:val="24"/>
          <w:szCs w:val="24"/>
          <w:shd w:val="clear" w:color="auto" w:fill="FFFFFF"/>
        </w:rPr>
        <w:t xml:space="preserve"> (</w:t>
      </w:r>
      <w:r>
        <w:rPr>
          <w:rFonts w:ascii="Times New Roman" w:hAnsi="Times New Roman"/>
          <w:sz w:val="24"/>
          <w:szCs w:val="24"/>
        </w:rPr>
        <w:t>2015</w:t>
      </w:r>
      <w:r>
        <w:rPr>
          <w:rFonts w:hint="eastAsia" w:ascii="Times New Roman" w:hAnsi="Times New Roman"/>
          <w:sz w:val="24"/>
          <w:szCs w:val="24"/>
        </w:rPr>
        <w:t>)</w:t>
      </w:r>
      <w:r>
        <w:rPr>
          <w:rFonts w:ascii="Times New Roman" w:hAnsi="Times New Roman"/>
          <w:sz w:val="24"/>
          <w:szCs w:val="24"/>
          <w:shd w:val="clear" w:color="auto" w:fill="FFFFFF"/>
        </w:rPr>
        <w:t xml:space="preserve">. Temperature influences stomatal density and maximum potential water loss through stomata of </w:t>
      </w:r>
      <w:r>
        <w:rPr>
          <w:rFonts w:ascii="Times New Roman" w:hAnsi="Times New Roman"/>
          <w:i/>
          <w:sz w:val="24"/>
          <w:szCs w:val="24"/>
          <w:shd w:val="clear" w:color="auto" w:fill="FFFFFF"/>
        </w:rPr>
        <w:t>Dodonaea viscosa</w:t>
      </w:r>
      <w:r>
        <w:rPr>
          <w:rFonts w:ascii="Times New Roman" w:hAnsi="Times New Roman"/>
          <w:sz w:val="24"/>
          <w:szCs w:val="24"/>
          <w:shd w:val="clear" w:color="auto" w:fill="FFFFFF"/>
        </w:rPr>
        <w:t xml:space="preserve"> subsp. </w:t>
      </w:r>
      <w:r>
        <w:rPr>
          <w:rFonts w:ascii="Times New Roman" w:hAnsi="Times New Roman"/>
          <w:i/>
          <w:sz w:val="24"/>
          <w:szCs w:val="24"/>
          <w:shd w:val="clear" w:color="auto" w:fill="FFFFFF"/>
        </w:rPr>
        <w:t>angustissima</w:t>
      </w:r>
      <w:r>
        <w:rPr>
          <w:rFonts w:ascii="Times New Roman" w:hAnsi="Times New Roman"/>
          <w:sz w:val="24"/>
          <w:szCs w:val="24"/>
          <w:shd w:val="clear" w:color="auto" w:fill="FFFFFF"/>
        </w:rPr>
        <w:t xml:space="preserve"> along a latitude gradient in southern Australia. </w:t>
      </w:r>
      <w:r>
        <w:rPr>
          <w:rFonts w:ascii="Times New Roman" w:hAnsi="Times New Roman"/>
          <w:i/>
          <w:sz w:val="24"/>
          <w:szCs w:val="24"/>
        </w:rPr>
        <w:t>Australian Journal of Botanty.</w:t>
      </w:r>
      <w:r>
        <w:rPr>
          <w:rFonts w:ascii="Times New Roman" w:hAnsi="Times New Roman"/>
          <w:iCs/>
          <w:sz w:val="24"/>
          <w:szCs w:val="24"/>
          <w:shd w:val="clear" w:color="auto" w:fill="FFFFFF"/>
        </w:rPr>
        <w:t xml:space="preserve"> 62(8)</w:t>
      </w:r>
      <w:r>
        <w:rPr>
          <w:rFonts w:ascii="Times New Roman" w:hAnsi="Times New Roman"/>
          <w:sz w:val="24"/>
          <w:szCs w:val="24"/>
          <w:shd w:val="clear" w:color="auto" w:fill="FFFFFF"/>
        </w:rPr>
        <w:t>: 657-665.</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rPr>
        <w:t>Hovenden MJ, T</w:t>
      </w:r>
      <w:r>
        <w:rPr>
          <w:rFonts w:hint="eastAsia" w:ascii="Times New Roman" w:hAnsi="Times New Roman"/>
          <w:sz w:val="24"/>
          <w:szCs w:val="24"/>
        </w:rPr>
        <w:t xml:space="preserve"> </w:t>
      </w:r>
      <w:r>
        <w:rPr>
          <w:rFonts w:ascii="Times New Roman" w:hAnsi="Times New Roman"/>
          <w:sz w:val="24"/>
          <w:szCs w:val="24"/>
        </w:rPr>
        <w:t>Brodribb</w:t>
      </w:r>
      <w:r>
        <w:rPr>
          <w:rFonts w:hint="eastAsia" w:ascii="Times New Roman" w:hAnsi="Times New Roman"/>
          <w:sz w:val="24"/>
          <w:szCs w:val="24"/>
        </w:rPr>
        <w:t xml:space="preserve"> (</w:t>
      </w:r>
      <w:r>
        <w:rPr>
          <w:rFonts w:ascii="Times New Roman" w:hAnsi="Times New Roman"/>
          <w:sz w:val="24"/>
          <w:szCs w:val="24"/>
        </w:rPr>
        <w:t>2000</w:t>
      </w:r>
      <w:r>
        <w:rPr>
          <w:rFonts w:hint="eastAsia" w:ascii="Times New Roman" w:hAnsi="Times New Roman"/>
          <w:sz w:val="24"/>
          <w:szCs w:val="24"/>
        </w:rPr>
        <w:t>)</w:t>
      </w:r>
      <w:r>
        <w:rPr>
          <w:rFonts w:ascii="Times New Roman" w:hAnsi="Times New Roman"/>
          <w:sz w:val="24"/>
          <w:szCs w:val="24"/>
        </w:rPr>
        <w:t xml:space="preserve">. Altitude of origin influences stomatal conductance and therefore maximum assimilation rate in Southern Beech, </w:t>
      </w:r>
      <w:r>
        <w:rPr>
          <w:rFonts w:ascii="Times New Roman" w:hAnsi="Times New Roman"/>
          <w:i/>
          <w:sz w:val="24"/>
          <w:szCs w:val="24"/>
        </w:rPr>
        <w:t>Nothofagus cunninghamii</w:t>
      </w:r>
      <w:r>
        <w:rPr>
          <w:rFonts w:ascii="Times New Roman" w:hAnsi="Times New Roman"/>
          <w:sz w:val="24"/>
          <w:szCs w:val="24"/>
        </w:rPr>
        <w:t xml:space="preserve">. </w:t>
      </w:r>
      <w:r>
        <w:rPr>
          <w:rFonts w:ascii="Times New Roman" w:hAnsi="Times New Roman"/>
          <w:i/>
          <w:sz w:val="24"/>
          <w:szCs w:val="24"/>
        </w:rPr>
        <w:t>Functional Plant Biology</w:t>
      </w:r>
      <w:r>
        <w:rPr>
          <w:rFonts w:ascii="Times New Roman" w:hAnsi="Times New Roman"/>
          <w:sz w:val="24"/>
          <w:szCs w:val="24"/>
        </w:rPr>
        <w:t xml:space="preserve"> 27(5):451-456.</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Hu J, QY</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Yang, W</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Huang, SB</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Zhang, H</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Hu</w:t>
      </w:r>
      <w:r>
        <w:rPr>
          <w:rFonts w:hint="eastAsia" w:ascii="Times New Roman" w:hAnsi="Times New Roman"/>
          <w:sz w:val="24"/>
          <w:szCs w:val="24"/>
          <w:shd w:val="clear" w:color="auto" w:fill="FFFFFF"/>
        </w:rPr>
        <w:t xml:space="preserve"> (</w:t>
      </w:r>
      <w:r>
        <w:rPr>
          <w:rFonts w:ascii="Times New Roman" w:hAnsi="Times New Roman"/>
          <w:sz w:val="24"/>
          <w:szCs w:val="24"/>
        </w:rPr>
        <w:t>2014</w:t>
      </w:r>
      <w:r>
        <w:rPr>
          <w:rFonts w:hint="eastAsia" w:ascii="Times New Roman" w:hAnsi="Times New Roman"/>
          <w:sz w:val="24"/>
          <w:szCs w:val="24"/>
        </w:rPr>
        <w:t>)</w:t>
      </w:r>
      <w:r>
        <w:rPr>
          <w:rFonts w:ascii="Times New Roman" w:hAnsi="Times New Roman"/>
          <w:sz w:val="24"/>
          <w:szCs w:val="24"/>
          <w:shd w:val="clear" w:color="auto" w:fill="FFFFFF"/>
        </w:rPr>
        <w:t xml:space="preserve">. Effects of temperature on leaf hydraulic architecture of tobacco plants. </w:t>
      </w:r>
      <w:r>
        <w:rPr>
          <w:rFonts w:ascii="Times New Roman" w:hAnsi="Times New Roman"/>
          <w:i/>
          <w:iCs/>
          <w:sz w:val="24"/>
          <w:szCs w:val="24"/>
          <w:shd w:val="clear" w:color="auto" w:fill="FFFFFF"/>
        </w:rPr>
        <w:t>Planta</w:t>
      </w:r>
      <w:r>
        <w:rPr>
          <w:rFonts w:ascii="Times New Roman" w:hAnsi="Times New Roman"/>
          <w:sz w:val="24"/>
          <w:szCs w:val="24"/>
          <w:shd w:val="clear" w:color="auto" w:fill="FFFFFF"/>
        </w:rPr>
        <w:t xml:space="preserve"> </w:t>
      </w:r>
      <w:r>
        <w:rPr>
          <w:rFonts w:ascii="Times New Roman" w:hAnsi="Times New Roman"/>
          <w:iCs/>
          <w:sz w:val="24"/>
          <w:szCs w:val="24"/>
          <w:shd w:val="clear" w:color="auto" w:fill="FFFFFF"/>
        </w:rPr>
        <w:t>240(3)</w:t>
      </w:r>
      <w:r>
        <w:rPr>
          <w:rFonts w:ascii="Times New Roman" w:hAnsi="Times New Roman"/>
          <w:sz w:val="24"/>
          <w:szCs w:val="24"/>
          <w:shd w:val="clear" w:color="auto" w:fill="FFFFFF"/>
        </w:rPr>
        <w:t>: 489-496.</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Körner C</w:t>
      </w:r>
      <w:r>
        <w:rPr>
          <w:rFonts w:hint="eastAsia" w:ascii="Times New Roman" w:hAnsi="Times New Roman"/>
          <w:sz w:val="24"/>
          <w:szCs w:val="24"/>
          <w:shd w:val="clear" w:color="auto" w:fill="FFFFFF"/>
        </w:rPr>
        <w:t xml:space="preserve"> (</w:t>
      </w:r>
      <w:r>
        <w:rPr>
          <w:rFonts w:ascii="Times New Roman" w:hAnsi="Times New Roman"/>
          <w:sz w:val="24"/>
          <w:szCs w:val="24"/>
        </w:rPr>
        <w:t>2007</w:t>
      </w:r>
      <w:r>
        <w:rPr>
          <w:rFonts w:hint="eastAsia" w:ascii="Times New Roman" w:hAnsi="Times New Roman"/>
          <w:sz w:val="24"/>
          <w:szCs w:val="24"/>
        </w:rPr>
        <w:t>)</w:t>
      </w:r>
      <w:r>
        <w:rPr>
          <w:rFonts w:ascii="Times New Roman" w:hAnsi="Times New Roman"/>
          <w:sz w:val="24"/>
          <w:szCs w:val="24"/>
          <w:shd w:val="clear" w:color="auto" w:fill="FFFFFF"/>
        </w:rPr>
        <w:t xml:space="preserve">. The use of ‘altitude’ in ecological research. </w:t>
      </w:r>
      <w:r>
        <w:rPr>
          <w:rFonts w:ascii="Times New Roman" w:hAnsi="Times New Roman"/>
          <w:i/>
          <w:sz w:val="24"/>
          <w:szCs w:val="24"/>
        </w:rPr>
        <w:t>Trends in Ecology &amp; Evolution</w:t>
      </w:r>
      <w:r>
        <w:rPr>
          <w:rFonts w:ascii="Times New Roman" w:hAnsi="Times New Roman"/>
          <w:iCs/>
          <w:sz w:val="24"/>
          <w:szCs w:val="24"/>
          <w:shd w:val="clear" w:color="auto" w:fill="FFFFFF"/>
        </w:rPr>
        <w:t xml:space="preserve"> 22</w:t>
      </w:r>
      <w:r>
        <w:rPr>
          <w:rFonts w:ascii="Times New Roman" w:hAnsi="Times New Roman"/>
          <w:sz w:val="24"/>
          <w:szCs w:val="24"/>
          <w:shd w:val="clear" w:color="auto" w:fill="FFFFFF"/>
        </w:rPr>
        <w:t>: 569-574.</w:t>
      </w:r>
    </w:p>
    <w:p>
      <w:pPr>
        <w:spacing w:line="480" w:lineRule="auto"/>
        <w:ind w:left="480" w:hanging="480" w:hangingChars="200"/>
        <w:rPr>
          <w:rFonts w:ascii="Times New Roman" w:hAnsi="Times New Roman"/>
          <w:sz w:val="24"/>
          <w:szCs w:val="24"/>
        </w:rPr>
      </w:pPr>
      <w:r>
        <w:rPr>
          <w:rFonts w:ascii="Times New Roman" w:hAnsi="Times New Roman"/>
          <w:sz w:val="24"/>
          <w:szCs w:val="24"/>
          <w:shd w:val="clear" w:color="auto" w:fill="FFFFFF"/>
        </w:rPr>
        <w:t>Kouwenberg LL, WM</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Kürschner, JC</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McElwain</w:t>
      </w:r>
      <w:r>
        <w:rPr>
          <w:rFonts w:hint="eastAsia" w:ascii="Times New Roman" w:hAnsi="Times New Roman"/>
          <w:sz w:val="24"/>
          <w:szCs w:val="24"/>
          <w:shd w:val="clear" w:color="auto" w:fill="FFFFFF"/>
        </w:rPr>
        <w:t xml:space="preserve"> (</w:t>
      </w:r>
      <w:r>
        <w:rPr>
          <w:rFonts w:ascii="Times New Roman" w:hAnsi="Times New Roman"/>
          <w:sz w:val="24"/>
          <w:szCs w:val="24"/>
        </w:rPr>
        <w:t>2007</w:t>
      </w:r>
      <w:r>
        <w:rPr>
          <w:rFonts w:hint="eastAsia" w:ascii="Times New Roman" w:hAnsi="Times New Roman"/>
          <w:sz w:val="24"/>
          <w:szCs w:val="24"/>
        </w:rPr>
        <w:t>)</w:t>
      </w:r>
      <w:r>
        <w:rPr>
          <w:rFonts w:ascii="Times New Roman" w:hAnsi="Times New Roman"/>
          <w:sz w:val="24"/>
          <w:szCs w:val="24"/>
          <w:shd w:val="clear" w:color="auto" w:fill="FFFFFF"/>
        </w:rPr>
        <w:t>. Stomatal frequency change over altitudinal gradients: prospects for paleoaltimetry.</w:t>
      </w:r>
      <w:r>
        <w:rPr>
          <w:rFonts w:ascii="Times New Roman" w:hAnsi="Times New Roman"/>
          <w:i/>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"http://www.baidu.com/link?url=gtvf2kP1P4-X2kBEVU_Ep44OFjzsZnMCYzNZdwmkwXI5H6TcD0mkGVIJn-4_8gRdySh34tqeF9XhJykiOeerAK" \t "_blank" </w:instrText>
      </w:r>
      <w:r>
        <w:rPr>
          <w:rFonts w:ascii="Times New Roman" w:hAnsi="Times New Roman"/>
          <w:sz w:val="24"/>
          <w:szCs w:val="24"/>
        </w:rPr>
        <w:fldChar w:fldCharType="separate"/>
      </w:r>
      <w:r>
        <w:rPr>
          <w:rFonts w:ascii="Times New Roman" w:hAnsi="Times New Roman"/>
          <w:i/>
          <w:sz w:val="24"/>
          <w:szCs w:val="24"/>
        </w:rPr>
        <w:t>Reviews in Mineralogy &amp; Geochemistry</w:t>
      </w:r>
      <w:r>
        <w:rPr>
          <w:rFonts w:ascii="Times New Roman" w:hAnsi="Times New Roman"/>
          <w:i/>
          <w:sz w:val="24"/>
          <w:szCs w:val="24"/>
        </w:rPr>
        <w:fldChar w:fldCharType="end"/>
      </w:r>
      <w:r>
        <w:rPr>
          <w:rFonts w:ascii="Times New Roman" w:hAnsi="Times New Roman"/>
          <w:sz w:val="24"/>
          <w:szCs w:val="24"/>
          <w:shd w:val="clear" w:color="auto" w:fill="FFFFFF"/>
        </w:rPr>
        <w:t xml:space="preserve"> </w:t>
      </w:r>
      <w:r>
        <w:rPr>
          <w:rFonts w:ascii="Times New Roman" w:hAnsi="Times New Roman"/>
          <w:iCs/>
          <w:sz w:val="24"/>
          <w:szCs w:val="24"/>
          <w:shd w:val="clear" w:color="auto" w:fill="FFFFFF"/>
        </w:rPr>
        <w:t>66(1)</w:t>
      </w:r>
      <w:r>
        <w:rPr>
          <w:rFonts w:ascii="Times New Roman" w:hAnsi="Times New Roman"/>
          <w:sz w:val="24"/>
          <w:szCs w:val="24"/>
          <w:shd w:val="clear" w:color="auto" w:fill="FFFFFF"/>
        </w:rPr>
        <w:t>: 215-241.</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Li C, X</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Zhang, X</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Liu, O</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Luukkanen, F</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Berninger</w:t>
      </w:r>
      <w:r>
        <w:rPr>
          <w:rFonts w:hint="eastAsia" w:ascii="Times New Roman" w:hAnsi="Times New Roman"/>
          <w:sz w:val="24"/>
          <w:szCs w:val="24"/>
          <w:shd w:val="clear" w:color="auto" w:fill="FFFFFF"/>
        </w:rPr>
        <w:t xml:space="preserve"> (</w:t>
      </w:r>
      <w:r>
        <w:rPr>
          <w:rFonts w:ascii="Times New Roman" w:hAnsi="Times New Roman"/>
          <w:sz w:val="24"/>
          <w:szCs w:val="24"/>
        </w:rPr>
        <w:t>2006</w:t>
      </w:r>
      <w:r>
        <w:rPr>
          <w:rFonts w:hint="eastAsia" w:ascii="Times New Roman" w:hAnsi="Times New Roman"/>
          <w:sz w:val="24"/>
          <w:szCs w:val="24"/>
        </w:rPr>
        <w:t>)</w:t>
      </w:r>
      <w:r>
        <w:rPr>
          <w:rFonts w:ascii="Times New Roman" w:hAnsi="Times New Roman"/>
          <w:sz w:val="24"/>
          <w:szCs w:val="24"/>
          <w:shd w:val="clear" w:color="auto" w:fill="FFFFFF"/>
        </w:rPr>
        <w:t xml:space="preserve">. Leaf morphological and physiological responses of </w:t>
      </w:r>
      <w:r>
        <w:rPr>
          <w:rFonts w:ascii="Times New Roman" w:hAnsi="Times New Roman"/>
          <w:i/>
          <w:sz w:val="24"/>
          <w:szCs w:val="24"/>
          <w:shd w:val="clear" w:color="auto" w:fill="FFFFFF"/>
        </w:rPr>
        <w:t>Quercus aquifolioides</w:t>
      </w:r>
      <w:r>
        <w:rPr>
          <w:rFonts w:ascii="Times New Roman" w:hAnsi="Times New Roman"/>
          <w:sz w:val="24"/>
          <w:szCs w:val="24"/>
          <w:shd w:val="clear" w:color="auto" w:fill="FFFFFF"/>
        </w:rPr>
        <w:t xml:space="preserve"> along an altitudinal gradient. </w:t>
      </w:r>
      <w:r>
        <w:rPr>
          <w:rFonts w:ascii="Times New Roman" w:hAnsi="Times New Roman"/>
          <w:iCs/>
          <w:sz w:val="24"/>
          <w:szCs w:val="24"/>
          <w:shd w:val="clear" w:color="auto" w:fill="FFFFFF"/>
        </w:rPr>
        <w:t>Silva Fennica</w:t>
      </w:r>
      <w:r>
        <w:rPr>
          <w:rFonts w:ascii="Times New Roman" w:hAnsi="Times New Roman"/>
          <w:sz w:val="24"/>
          <w:szCs w:val="24"/>
          <w:shd w:val="clear" w:color="auto" w:fill="FFFFFF"/>
        </w:rPr>
        <w:t xml:space="preserve"> </w:t>
      </w:r>
      <w:r>
        <w:rPr>
          <w:rFonts w:ascii="Times New Roman" w:hAnsi="Times New Roman"/>
          <w:iCs/>
          <w:sz w:val="24"/>
          <w:szCs w:val="24"/>
          <w:shd w:val="clear" w:color="auto" w:fill="FFFFFF"/>
        </w:rPr>
        <w:t>40(1)</w:t>
      </w:r>
      <w:r>
        <w:rPr>
          <w:rFonts w:ascii="Times New Roman" w:hAnsi="Times New Roman"/>
          <w:sz w:val="24"/>
          <w:szCs w:val="24"/>
          <w:shd w:val="clear" w:color="auto" w:fill="FFFFFF"/>
        </w:rPr>
        <w:t>: 5-13.</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Li Y, Y</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Zu, Q</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Fang, H</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Chen, C</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Schvartz</w:t>
      </w:r>
      <w:r>
        <w:rPr>
          <w:rFonts w:hint="eastAsia" w:ascii="Times New Roman" w:hAnsi="Times New Roman"/>
          <w:sz w:val="24"/>
          <w:szCs w:val="24"/>
          <w:shd w:val="clear" w:color="auto" w:fill="FFFFFF"/>
        </w:rPr>
        <w:t xml:space="preserve"> (</w:t>
      </w:r>
      <w:r>
        <w:rPr>
          <w:rFonts w:ascii="Times New Roman" w:hAnsi="Times New Roman"/>
          <w:sz w:val="24"/>
          <w:szCs w:val="24"/>
        </w:rPr>
        <w:t>2013</w:t>
      </w:r>
      <w:r>
        <w:rPr>
          <w:rFonts w:hint="eastAsia" w:ascii="Times New Roman" w:hAnsi="Times New Roman"/>
          <w:sz w:val="24"/>
          <w:szCs w:val="24"/>
        </w:rPr>
        <w:t>)</w:t>
      </w:r>
      <w:r>
        <w:rPr>
          <w:rFonts w:ascii="Times New Roman" w:hAnsi="Times New Roman"/>
          <w:sz w:val="24"/>
          <w:szCs w:val="24"/>
          <w:shd w:val="clear" w:color="auto" w:fill="FFFFFF"/>
        </w:rPr>
        <w:t xml:space="preserve">. Characteristics of heavy-metal tolerance and growth in two ecotypes of </w:t>
      </w:r>
      <w:r>
        <w:rPr>
          <w:rFonts w:ascii="Times New Roman" w:hAnsi="Times New Roman"/>
          <w:i/>
          <w:sz w:val="24"/>
          <w:szCs w:val="24"/>
          <w:shd w:val="clear" w:color="auto" w:fill="FFFFFF"/>
        </w:rPr>
        <w:t>Oxyria sinensis</w:t>
      </w:r>
      <w:r>
        <w:rPr>
          <w:rFonts w:ascii="Times New Roman" w:hAnsi="Times New Roman"/>
          <w:sz w:val="24"/>
          <w:szCs w:val="24"/>
          <w:shd w:val="clear" w:color="auto" w:fill="FFFFFF"/>
        </w:rPr>
        <w:t xml:space="preserve"> Hemsl. Grown on Huize lead–zinc mining area in Yunnan Province, China. Communications in Soil Science and Plant Analysis 44(16): 2428-2442.</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Luo X, Q Hu, P</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Zhou, D</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Zhang, Q</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Wang, RJ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Abbott, 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Liu</w:t>
      </w:r>
      <w:r>
        <w:rPr>
          <w:rFonts w:hint="eastAsia" w:ascii="Times New Roman" w:hAnsi="Times New Roman"/>
          <w:sz w:val="24"/>
          <w:szCs w:val="24"/>
          <w:shd w:val="clear" w:color="auto" w:fill="FFFFFF"/>
        </w:rPr>
        <w:t xml:space="preserve"> (</w:t>
      </w:r>
      <w:r>
        <w:rPr>
          <w:rFonts w:ascii="Times New Roman" w:hAnsi="Times New Roman"/>
          <w:sz w:val="24"/>
          <w:szCs w:val="24"/>
        </w:rPr>
        <w:t>2017</w:t>
      </w:r>
      <w:r>
        <w:rPr>
          <w:rFonts w:hint="eastAsia" w:ascii="Times New Roman" w:hAnsi="Times New Roman"/>
          <w:sz w:val="24"/>
          <w:szCs w:val="24"/>
        </w:rPr>
        <w:t>)</w:t>
      </w:r>
      <w:r>
        <w:rPr>
          <w:rFonts w:ascii="Times New Roman" w:hAnsi="Times New Roman"/>
          <w:sz w:val="24"/>
          <w:szCs w:val="24"/>
          <w:shd w:val="clear" w:color="auto" w:fill="FFFFFF"/>
        </w:rPr>
        <w:t xml:space="preserve">. Chasing ghosts: allopolyploid origin of </w:t>
      </w:r>
      <w:r>
        <w:rPr>
          <w:rFonts w:ascii="Times New Roman" w:hAnsi="Times New Roman"/>
          <w:i/>
          <w:sz w:val="24"/>
          <w:szCs w:val="24"/>
          <w:shd w:val="clear" w:color="auto" w:fill="FFFFFF"/>
        </w:rPr>
        <w:t>Oxyria sinensis</w:t>
      </w:r>
      <w:r>
        <w:rPr>
          <w:rFonts w:ascii="Times New Roman" w:hAnsi="Times New Roman"/>
          <w:sz w:val="24"/>
          <w:szCs w:val="24"/>
          <w:shd w:val="clear" w:color="auto" w:fill="FFFFFF"/>
        </w:rPr>
        <w:t xml:space="preserve"> (Polygonaceae) from its only diploid congener and an unknown ancestor.</w:t>
      </w:r>
      <w:r>
        <w:rPr>
          <w:rFonts w:ascii="Times New Roman" w:hAnsi="Times New Roman"/>
          <w:i/>
          <w:sz w:val="24"/>
          <w:szCs w:val="24"/>
          <w:shd w:val="clear" w:color="auto" w:fill="FFFFFF"/>
        </w:rPr>
        <w:t>Molecular Ecology</w:t>
      </w:r>
      <w:r>
        <w:rPr>
          <w:rFonts w:ascii="Times New Roman" w:hAnsi="Times New Roman"/>
          <w:sz w:val="24"/>
          <w:szCs w:val="24"/>
          <w:shd w:val="clear" w:color="auto" w:fill="FFFFFF"/>
        </w:rPr>
        <w:t xml:space="preserve"> 26(11): 3037-3049.</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Moseley RK</w:t>
      </w:r>
      <w:r>
        <w:rPr>
          <w:rFonts w:hint="eastAsia" w:ascii="Times New Roman" w:hAnsi="Times New Roman"/>
          <w:sz w:val="24"/>
          <w:szCs w:val="24"/>
          <w:shd w:val="clear" w:color="auto" w:fill="FFFFFF"/>
        </w:rPr>
        <w:t xml:space="preserve"> (</w:t>
      </w:r>
      <w:r>
        <w:rPr>
          <w:rFonts w:ascii="Times New Roman" w:hAnsi="Times New Roman"/>
          <w:sz w:val="24"/>
          <w:szCs w:val="24"/>
        </w:rPr>
        <w:t>2006</w:t>
      </w:r>
      <w:r>
        <w:rPr>
          <w:rFonts w:hint="eastAsia" w:ascii="Times New Roman" w:hAnsi="Times New Roman"/>
          <w:sz w:val="24"/>
          <w:szCs w:val="24"/>
        </w:rPr>
        <w:t>)</w:t>
      </w:r>
      <w:r>
        <w:rPr>
          <w:rFonts w:ascii="Times New Roman" w:hAnsi="Times New Roman"/>
          <w:sz w:val="24"/>
          <w:szCs w:val="24"/>
          <w:shd w:val="clear" w:color="auto" w:fill="FFFFFF"/>
        </w:rPr>
        <w:t xml:space="preserve">. Historical landscape change in northwestern Yunnan, China. </w:t>
      </w:r>
      <w:r>
        <w:rPr>
          <w:rFonts w:ascii="Times New Roman" w:hAnsi="Times New Roman"/>
          <w:i/>
          <w:sz w:val="24"/>
          <w:szCs w:val="24"/>
          <w:shd w:val="clear" w:color="auto" w:fill="FFFFFF"/>
        </w:rPr>
        <w:t>Mountain Research and Development</w:t>
      </w:r>
      <w:r>
        <w:rPr>
          <w:rFonts w:ascii="Times New Roman" w:hAnsi="Times New Roman"/>
          <w:sz w:val="24"/>
          <w:szCs w:val="24"/>
          <w:shd w:val="clear" w:color="auto" w:fill="FFFFFF"/>
        </w:rPr>
        <w:t xml:space="preserve"> 26(3): 214-219.</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Paridari IC, SG</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Jalali, A</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Sonboli, SM</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Zarafshar, P</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Bruschi</w:t>
      </w:r>
      <w:r>
        <w:rPr>
          <w:rFonts w:hint="eastAsia" w:ascii="Times New Roman" w:hAnsi="Times New Roman"/>
          <w:sz w:val="24"/>
          <w:szCs w:val="24"/>
          <w:shd w:val="clear" w:color="auto" w:fill="FFFFFF"/>
        </w:rPr>
        <w:t xml:space="preserve"> (</w:t>
      </w:r>
      <w:r>
        <w:rPr>
          <w:rFonts w:ascii="Times New Roman" w:hAnsi="Times New Roman"/>
          <w:sz w:val="24"/>
          <w:szCs w:val="24"/>
        </w:rPr>
        <w:t>2013</w:t>
      </w:r>
      <w:r>
        <w:rPr>
          <w:rFonts w:hint="eastAsia" w:ascii="Times New Roman" w:hAnsi="Times New Roman"/>
          <w:sz w:val="24"/>
          <w:szCs w:val="24"/>
        </w:rPr>
        <w:t>)</w:t>
      </w:r>
      <w:r>
        <w:rPr>
          <w:rFonts w:ascii="Times New Roman" w:hAnsi="Times New Roman"/>
          <w:sz w:val="24"/>
          <w:szCs w:val="24"/>
          <w:shd w:val="clear" w:color="auto" w:fill="FFFFFF"/>
        </w:rPr>
        <w:t xml:space="preserve">. Leaf macro- and micro-morphological altitudinal variability of Carpinus betulus in the Hyrcanian forest (Iran). </w:t>
      </w:r>
      <w:r>
        <w:rPr>
          <w:rFonts w:ascii="Times New Roman" w:hAnsi="Times New Roman"/>
          <w:i/>
          <w:sz w:val="24"/>
          <w:szCs w:val="24"/>
          <w:shd w:val="clear" w:color="auto" w:fill="FFFFFF"/>
        </w:rPr>
        <w:t>Journal of Forest Research</w:t>
      </w:r>
      <w:r>
        <w:rPr>
          <w:rFonts w:ascii="Times New Roman" w:hAnsi="Times New Roman"/>
          <w:sz w:val="24"/>
          <w:szCs w:val="24"/>
          <w:shd w:val="clear" w:color="auto" w:fill="FFFFFF"/>
        </w:rPr>
        <w:t xml:space="preserve"> 24(2): 301-307.</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Sack L, K</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Frole</w:t>
      </w:r>
      <w:r>
        <w:rPr>
          <w:rFonts w:hint="eastAsia" w:ascii="Times New Roman" w:hAnsi="Times New Roman"/>
          <w:sz w:val="24"/>
          <w:szCs w:val="24"/>
          <w:shd w:val="clear" w:color="auto" w:fill="FFFFFF"/>
        </w:rPr>
        <w:t xml:space="preserve"> (</w:t>
      </w:r>
      <w:r>
        <w:rPr>
          <w:rFonts w:ascii="Times New Roman" w:hAnsi="Times New Roman"/>
          <w:sz w:val="24"/>
          <w:szCs w:val="24"/>
        </w:rPr>
        <w:t>2006</w:t>
      </w:r>
      <w:r>
        <w:rPr>
          <w:rFonts w:hint="eastAsia" w:ascii="Times New Roman" w:hAnsi="Times New Roman"/>
          <w:sz w:val="24"/>
          <w:szCs w:val="24"/>
        </w:rPr>
        <w:t>)</w:t>
      </w:r>
      <w:r>
        <w:rPr>
          <w:rFonts w:ascii="Times New Roman" w:hAnsi="Times New Roman"/>
          <w:sz w:val="24"/>
          <w:szCs w:val="24"/>
          <w:shd w:val="clear" w:color="auto" w:fill="FFFFFF"/>
        </w:rPr>
        <w:t xml:space="preserve">. Leaf structural diversity is related to hydraulic capacity in tropical rain forest trees. </w:t>
      </w:r>
      <w:r>
        <w:rPr>
          <w:rFonts w:ascii="Times New Roman" w:hAnsi="Times New Roman"/>
          <w:i/>
          <w:sz w:val="24"/>
          <w:szCs w:val="24"/>
          <w:shd w:val="clear" w:color="auto" w:fill="FFFFFF"/>
        </w:rPr>
        <w:t>Ecology</w:t>
      </w:r>
      <w:r>
        <w:rPr>
          <w:rFonts w:ascii="Times New Roman" w:hAnsi="Times New Roman"/>
          <w:sz w:val="24"/>
          <w:szCs w:val="24"/>
          <w:shd w:val="clear" w:color="auto" w:fill="FFFFFF"/>
        </w:rPr>
        <w:t xml:space="preserve"> 87(2):483-491.</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Sack L, C</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Scoffoni</w:t>
      </w:r>
      <w:r>
        <w:rPr>
          <w:rFonts w:hint="eastAsia" w:ascii="Times New Roman" w:hAnsi="Times New Roman"/>
          <w:sz w:val="24"/>
          <w:szCs w:val="24"/>
          <w:shd w:val="clear" w:color="auto" w:fill="FFFFFF"/>
        </w:rPr>
        <w:t xml:space="preserve"> (</w:t>
      </w:r>
      <w:r>
        <w:rPr>
          <w:rFonts w:ascii="Times New Roman" w:hAnsi="Times New Roman"/>
          <w:sz w:val="24"/>
          <w:szCs w:val="24"/>
        </w:rPr>
        <w:t>2013</w:t>
      </w:r>
      <w:r>
        <w:rPr>
          <w:rFonts w:hint="eastAsia" w:ascii="Times New Roman" w:hAnsi="Times New Roman"/>
          <w:sz w:val="24"/>
          <w:szCs w:val="24"/>
        </w:rPr>
        <w:t>)</w:t>
      </w:r>
      <w:r>
        <w:rPr>
          <w:rFonts w:ascii="Times New Roman" w:hAnsi="Times New Roman"/>
          <w:sz w:val="24"/>
          <w:szCs w:val="24"/>
          <w:shd w:val="clear" w:color="auto" w:fill="FFFFFF"/>
        </w:rPr>
        <w:t xml:space="preserve">. Leaf venation: structure, function, development, evolution, ecology and applications in the past, present and future. </w:t>
      </w:r>
      <w:r>
        <w:rPr>
          <w:rFonts w:ascii="Times New Roman" w:hAnsi="Times New Roman"/>
          <w:i/>
          <w:iCs/>
          <w:sz w:val="24"/>
          <w:szCs w:val="24"/>
          <w:shd w:val="clear" w:color="auto" w:fill="FFFFFF"/>
        </w:rPr>
        <w:t>New Phytologist</w:t>
      </w:r>
      <w:r>
        <w:rPr>
          <w:rFonts w:ascii="Times New Roman" w:hAnsi="Times New Roman"/>
          <w:i/>
          <w:sz w:val="24"/>
          <w:szCs w:val="24"/>
          <w:shd w:val="clear" w:color="auto" w:fill="FFFFFF"/>
        </w:rPr>
        <w:t xml:space="preserve"> </w:t>
      </w:r>
      <w:r>
        <w:rPr>
          <w:rFonts w:ascii="Times New Roman" w:hAnsi="Times New Roman"/>
          <w:iCs/>
          <w:sz w:val="24"/>
          <w:szCs w:val="24"/>
          <w:shd w:val="clear" w:color="auto" w:fill="FFFFFF"/>
        </w:rPr>
        <w:t>198(4)</w:t>
      </w:r>
      <w:r>
        <w:rPr>
          <w:rFonts w:ascii="Times New Roman" w:hAnsi="Times New Roman"/>
          <w:sz w:val="24"/>
          <w:szCs w:val="24"/>
          <w:shd w:val="clear" w:color="auto" w:fill="FFFFFF"/>
        </w:rPr>
        <w:t>: 983-1000.</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rPr>
        <w:t>Sack L, C</w:t>
      </w:r>
      <w:r>
        <w:rPr>
          <w:rFonts w:hint="eastAsia" w:ascii="Times New Roman" w:hAnsi="Times New Roman"/>
          <w:sz w:val="24"/>
          <w:szCs w:val="24"/>
        </w:rPr>
        <w:t xml:space="preserve"> </w:t>
      </w:r>
      <w:r>
        <w:rPr>
          <w:rFonts w:ascii="Times New Roman" w:hAnsi="Times New Roman"/>
          <w:sz w:val="24"/>
          <w:szCs w:val="24"/>
        </w:rPr>
        <w:t>Scoffoni, AD</w:t>
      </w:r>
      <w:r>
        <w:rPr>
          <w:rFonts w:hint="eastAsia" w:ascii="Times New Roman" w:hAnsi="Times New Roman"/>
          <w:sz w:val="24"/>
          <w:szCs w:val="24"/>
        </w:rPr>
        <w:t xml:space="preserve"> </w:t>
      </w:r>
      <w:r>
        <w:rPr>
          <w:rFonts w:ascii="Times New Roman" w:hAnsi="Times New Roman"/>
          <w:sz w:val="24"/>
          <w:szCs w:val="24"/>
        </w:rPr>
        <w:t>McKown, K</w:t>
      </w:r>
      <w:r>
        <w:rPr>
          <w:rFonts w:hint="eastAsia" w:ascii="Times New Roman" w:hAnsi="Times New Roman"/>
          <w:sz w:val="24"/>
          <w:szCs w:val="24"/>
        </w:rPr>
        <w:t xml:space="preserve"> </w:t>
      </w:r>
      <w:r>
        <w:rPr>
          <w:rFonts w:ascii="Times New Roman" w:hAnsi="Times New Roman"/>
          <w:sz w:val="24"/>
          <w:szCs w:val="24"/>
        </w:rPr>
        <w:t>Frole, M</w:t>
      </w:r>
      <w:r>
        <w:rPr>
          <w:rFonts w:hint="eastAsia" w:ascii="Times New Roman" w:hAnsi="Times New Roman"/>
          <w:sz w:val="24"/>
          <w:szCs w:val="24"/>
        </w:rPr>
        <w:t xml:space="preserve"> </w:t>
      </w:r>
      <w:r>
        <w:rPr>
          <w:rFonts w:ascii="Times New Roman" w:hAnsi="Times New Roman"/>
          <w:sz w:val="24"/>
          <w:szCs w:val="24"/>
        </w:rPr>
        <w:t>Rawls, JC</w:t>
      </w:r>
      <w:r>
        <w:rPr>
          <w:rFonts w:hint="eastAsia" w:ascii="Times New Roman" w:hAnsi="Times New Roman"/>
          <w:sz w:val="24"/>
          <w:szCs w:val="24"/>
        </w:rPr>
        <w:t xml:space="preserve"> </w:t>
      </w:r>
      <w:r>
        <w:rPr>
          <w:rFonts w:ascii="Times New Roman" w:hAnsi="Times New Roman"/>
          <w:sz w:val="24"/>
          <w:szCs w:val="24"/>
        </w:rPr>
        <w:t>Havran, H</w:t>
      </w:r>
      <w:r>
        <w:rPr>
          <w:rFonts w:hint="eastAsia" w:ascii="Times New Roman" w:hAnsi="Times New Roman"/>
          <w:sz w:val="24"/>
          <w:szCs w:val="24"/>
        </w:rPr>
        <w:t xml:space="preserve"> </w:t>
      </w:r>
      <w:r>
        <w:rPr>
          <w:rFonts w:ascii="Times New Roman" w:hAnsi="Times New Roman"/>
          <w:sz w:val="24"/>
          <w:szCs w:val="24"/>
        </w:rPr>
        <w:t>Tran, T</w:t>
      </w:r>
      <w:r>
        <w:rPr>
          <w:rFonts w:hint="eastAsia" w:ascii="Times New Roman" w:hAnsi="Times New Roman"/>
          <w:sz w:val="24"/>
          <w:szCs w:val="24"/>
        </w:rPr>
        <w:t xml:space="preserve"> </w:t>
      </w:r>
      <w:r>
        <w:rPr>
          <w:rFonts w:ascii="Times New Roman" w:hAnsi="Times New Roman"/>
          <w:sz w:val="24"/>
          <w:szCs w:val="24"/>
        </w:rPr>
        <w:t>Tran</w:t>
      </w:r>
      <w:r>
        <w:rPr>
          <w:rFonts w:hint="eastAsia" w:ascii="Times New Roman" w:hAnsi="Times New Roman"/>
          <w:sz w:val="24"/>
          <w:szCs w:val="24"/>
        </w:rPr>
        <w:t xml:space="preserve"> (</w:t>
      </w:r>
      <w:r>
        <w:rPr>
          <w:rFonts w:ascii="Times New Roman" w:hAnsi="Times New Roman"/>
          <w:sz w:val="24"/>
          <w:szCs w:val="24"/>
        </w:rPr>
        <w:t>2012</w:t>
      </w:r>
      <w:r>
        <w:rPr>
          <w:rFonts w:hint="eastAsia" w:ascii="Times New Roman" w:hAnsi="Times New Roman"/>
          <w:sz w:val="24"/>
          <w:szCs w:val="24"/>
        </w:rPr>
        <w:t>)</w:t>
      </w:r>
      <w:r>
        <w:rPr>
          <w:rFonts w:ascii="Times New Roman" w:hAnsi="Times New Roman"/>
          <w:sz w:val="24"/>
          <w:szCs w:val="24"/>
        </w:rPr>
        <w:t xml:space="preserve">. Developmentally based scaling of leaf venation architecture explains global ecological patterns. </w:t>
      </w:r>
      <w:r>
        <w:rPr>
          <w:rFonts w:ascii="Times New Roman" w:hAnsi="Times New Roman"/>
          <w:i/>
          <w:sz w:val="24"/>
          <w:szCs w:val="24"/>
        </w:rPr>
        <w:t>Nature Communications</w:t>
      </w:r>
      <w:r>
        <w:rPr>
          <w:rFonts w:ascii="Times New Roman" w:hAnsi="Times New Roman"/>
          <w:sz w:val="24"/>
          <w:szCs w:val="24"/>
        </w:rPr>
        <w:t xml:space="preserve"> 3(1):1-10.</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Schoettle AW, SG</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Rochelle</w:t>
      </w:r>
      <w:r>
        <w:rPr>
          <w:rFonts w:hint="eastAsia" w:ascii="Times New Roman" w:hAnsi="Times New Roman"/>
          <w:sz w:val="24"/>
          <w:szCs w:val="24"/>
          <w:shd w:val="clear" w:color="auto" w:fill="FFFFFF"/>
        </w:rPr>
        <w:t xml:space="preserve"> (</w:t>
      </w:r>
      <w:r>
        <w:rPr>
          <w:rFonts w:ascii="Times New Roman" w:hAnsi="Times New Roman"/>
          <w:sz w:val="24"/>
          <w:szCs w:val="24"/>
        </w:rPr>
        <w:t>2000</w:t>
      </w:r>
      <w:r>
        <w:rPr>
          <w:rFonts w:hint="eastAsia" w:ascii="Times New Roman" w:hAnsi="Times New Roman"/>
          <w:sz w:val="24"/>
          <w:szCs w:val="24"/>
        </w:rPr>
        <w:t>)</w:t>
      </w:r>
      <w:r>
        <w:rPr>
          <w:rFonts w:ascii="Times New Roman" w:hAnsi="Times New Roman"/>
          <w:sz w:val="24"/>
          <w:szCs w:val="24"/>
          <w:shd w:val="clear" w:color="auto" w:fill="FFFFFF"/>
        </w:rPr>
        <w:t xml:space="preserve">. Morphological variation of </w:t>
      </w:r>
      <w:r>
        <w:rPr>
          <w:rFonts w:ascii="Times New Roman" w:hAnsi="Times New Roman"/>
          <w:i/>
          <w:sz w:val="24"/>
          <w:szCs w:val="24"/>
          <w:shd w:val="clear" w:color="auto" w:fill="FFFFFF"/>
        </w:rPr>
        <w:t>Pinus flexilis</w:t>
      </w:r>
      <w:r>
        <w:rPr>
          <w:rFonts w:ascii="Times New Roman" w:hAnsi="Times New Roman"/>
          <w:sz w:val="24"/>
          <w:szCs w:val="24"/>
          <w:shd w:val="clear" w:color="auto" w:fill="FFFFFF"/>
        </w:rPr>
        <w:t xml:space="preserve"> (Pinaceae), a bird-dispersed pine, across a range of elevations. </w:t>
      </w:r>
      <w:r>
        <w:rPr>
          <w:rFonts w:ascii="Times New Roman" w:hAnsi="Times New Roman"/>
          <w:i/>
          <w:sz w:val="24"/>
          <w:szCs w:val="24"/>
          <w:shd w:val="clear" w:color="auto" w:fill="FFFFFF"/>
        </w:rPr>
        <w:t>American Journal of Botany</w:t>
      </w:r>
      <w:r>
        <w:rPr>
          <w:rFonts w:ascii="Times New Roman" w:hAnsi="Times New Roman"/>
          <w:sz w:val="24"/>
          <w:szCs w:val="24"/>
          <w:shd w:val="clear" w:color="auto" w:fill="FFFFFF"/>
        </w:rPr>
        <w:t xml:space="preserve"> 87(12): 1797-1806.</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Shi K, X</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Li, H</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Zhang</w:t>
      </w:r>
      <w:r>
        <w:rPr>
          <w:rFonts w:hint="eastAsia" w:ascii="Times New Roman" w:hAnsi="Times New Roman"/>
          <w:sz w:val="24"/>
          <w:szCs w:val="24"/>
          <w:shd w:val="clear" w:color="auto" w:fill="FFFFFF"/>
        </w:rPr>
        <w:t>,</w:t>
      </w:r>
      <w:r>
        <w:rPr>
          <w:rFonts w:ascii="Times New Roman" w:hAnsi="Times New Roman"/>
          <w:sz w:val="24"/>
          <w:szCs w:val="24"/>
          <w:shd w:val="clear" w:color="auto" w:fill="FFFFFF"/>
        </w:rPr>
        <w:t xml:space="preserve"> GQ</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Zhang, YR</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Liu, YH</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Zhou, XJ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Xia,</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ZX</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Chen,</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JQ</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Yu </w:t>
      </w:r>
      <w:r>
        <w:rPr>
          <w:rFonts w:hint="eastAsia" w:ascii="Times New Roman" w:hAnsi="Times New Roman"/>
          <w:sz w:val="24"/>
          <w:szCs w:val="24"/>
          <w:shd w:val="clear" w:color="auto" w:fill="FFFFFF"/>
        </w:rPr>
        <w:t xml:space="preserve"> (</w:t>
      </w:r>
      <w:r>
        <w:rPr>
          <w:rFonts w:ascii="Times New Roman" w:hAnsi="Times New Roman"/>
          <w:sz w:val="24"/>
          <w:szCs w:val="24"/>
        </w:rPr>
        <w:t>2015</w:t>
      </w:r>
      <w:r>
        <w:rPr>
          <w:rFonts w:hint="eastAsia" w:ascii="Times New Roman" w:hAnsi="Times New Roman"/>
          <w:sz w:val="24"/>
          <w:szCs w:val="24"/>
        </w:rPr>
        <w:t>)</w:t>
      </w:r>
      <w:r>
        <w:rPr>
          <w:rFonts w:ascii="Times New Roman" w:hAnsi="Times New Roman"/>
          <w:sz w:val="24"/>
          <w:szCs w:val="24"/>
          <w:shd w:val="clear" w:color="auto" w:fill="FFFFFF"/>
        </w:rPr>
        <w:t>. Guard cell hydrogen peroxide and nitric oxide mediate elevated CO</w:t>
      </w:r>
      <w:r>
        <w:rPr>
          <w:rFonts w:ascii="Times New Roman" w:hAnsi="Times New Roman"/>
          <w:sz w:val="24"/>
          <w:szCs w:val="24"/>
          <w:shd w:val="clear" w:color="auto" w:fill="FFFFFF"/>
          <w:vertAlign w:val="subscript"/>
        </w:rPr>
        <w:t>2</w:t>
      </w:r>
      <w:r>
        <w:rPr>
          <w:rFonts w:ascii="Times New Roman" w:hAnsi="Times New Roman"/>
          <w:sz w:val="24"/>
          <w:szCs w:val="24"/>
          <w:shd w:val="clear" w:color="auto" w:fill="FFFFFF"/>
        </w:rPr>
        <w:t xml:space="preserve">-induced stomatal movement in tomato. </w:t>
      </w:r>
      <w:r>
        <w:rPr>
          <w:rFonts w:ascii="Times New Roman" w:hAnsi="Times New Roman"/>
          <w:i/>
          <w:iCs/>
          <w:sz w:val="24"/>
          <w:szCs w:val="24"/>
          <w:shd w:val="clear" w:color="auto" w:fill="FFFFFF"/>
        </w:rPr>
        <w:t>New Phytologist</w:t>
      </w:r>
      <w:r>
        <w:rPr>
          <w:rFonts w:hint="eastAsia" w:ascii="Times New Roman" w:hAnsi="Times New Roman"/>
          <w:i/>
          <w:iCs/>
          <w:sz w:val="24"/>
          <w:szCs w:val="24"/>
          <w:shd w:val="clear" w:color="auto" w:fill="FFFFFF"/>
        </w:rPr>
        <w:t xml:space="preserve"> </w:t>
      </w:r>
      <w:r>
        <w:rPr>
          <w:rFonts w:ascii="Times New Roman" w:hAnsi="Times New Roman"/>
          <w:iCs/>
          <w:sz w:val="24"/>
          <w:szCs w:val="24"/>
          <w:shd w:val="clear" w:color="auto" w:fill="FFFFFF"/>
        </w:rPr>
        <w:t>208(2)</w:t>
      </w:r>
      <w:r>
        <w:rPr>
          <w:rFonts w:ascii="Times New Roman" w:hAnsi="Times New Roman"/>
          <w:sz w:val="24"/>
          <w:szCs w:val="24"/>
          <w:shd w:val="clear" w:color="auto" w:fill="FFFFFF"/>
        </w:rPr>
        <w:t>: 342-353.</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Soudzilovskaia NA, TG</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Elumeeva, VG</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Onipchenko,</w:t>
      </w:r>
      <w:r>
        <w:rPr>
          <w:rFonts w:ascii="Times New Roman" w:hAnsi="Times New Roman" w:eastAsia="微软雅黑"/>
          <w:sz w:val="24"/>
          <w:szCs w:val="24"/>
        </w:rPr>
        <w:t xml:space="preserve"> LL</w:t>
      </w:r>
      <w:r>
        <w:rPr>
          <w:rFonts w:hint="eastAsia" w:ascii="Times New Roman" w:hAnsi="Times New Roman" w:eastAsia="微软雅黑"/>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"https://xueshu.baidu.com/s?wd=author:(Shidakov)%20&amp;tn=SE_baiduxueshu_c1gjeupa&amp;ie=utf-8&amp;sc_f_para=sc_hilight=person"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Shidakov</w:t>
      </w:r>
      <w:r>
        <w:rPr>
          <w:rStyle w:val="5"/>
          <w:rFonts w:ascii="Times New Roman" w:hAnsi="Times New Roman" w:eastAsia="微软雅黑"/>
          <w:color w:val="auto"/>
          <w:sz w:val="24"/>
          <w:szCs w:val="24"/>
          <w:u w:val="none"/>
        </w:rPr>
        <w:fldChar w:fldCharType="end"/>
      </w:r>
      <w:r>
        <w:rPr>
          <w:rFonts w:ascii="Times New Roman" w:hAnsi="Times New Roman" w:eastAsia="微软雅黑"/>
          <w:sz w:val="24"/>
          <w:szCs w:val="24"/>
        </w:rPr>
        <w:t>, FS</w:t>
      </w:r>
      <w:r>
        <w:rPr>
          <w:rFonts w:hint="eastAsia" w:ascii="Times New Roman" w:hAnsi="Times New Roman" w:eastAsia="微软雅黑"/>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"https://xueshu.baidu.com/s?wd=author:(Salpagarova)%20&amp;tn=SE_baiduxueshu_c1gjeupa&amp;ie=utf-8&amp;sc_f_para=sc_hilight=person"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Salpagarova</w:t>
      </w:r>
      <w:r>
        <w:rPr>
          <w:rStyle w:val="5"/>
          <w:rFonts w:ascii="Times New Roman" w:hAnsi="Times New Roman" w:eastAsia="微软雅黑"/>
          <w:color w:val="auto"/>
          <w:sz w:val="24"/>
          <w:szCs w:val="24"/>
          <w:u w:val="none"/>
        </w:rPr>
        <w:fldChar w:fldCharType="end"/>
      </w:r>
      <w:r>
        <w:rPr>
          <w:rFonts w:ascii="Times New Roman" w:hAnsi="Times New Roman" w:eastAsia="微软雅黑"/>
          <w:sz w:val="24"/>
          <w:szCs w:val="24"/>
        </w:rPr>
        <w:t>,  AB</w:t>
      </w:r>
      <w:r>
        <w:rPr>
          <w:rFonts w:hint="eastAsia" w:ascii="Times New Roman" w:hAnsi="Times New Roman" w:eastAsia="微软雅黑"/>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"https://xueshu.baidu.com/s?wd=author:(Khubiev)%20&amp;tn=SE_baiduxueshu_c1gjeupa&amp;ie=utf-8&amp;sc_f_para=sc_hilight=person"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Khubiev</w:t>
      </w:r>
      <w:r>
        <w:rPr>
          <w:rStyle w:val="5"/>
          <w:rFonts w:ascii="Times New Roman" w:hAnsi="Times New Roman" w:eastAsia="微软雅黑"/>
          <w:color w:val="auto"/>
          <w:sz w:val="24"/>
          <w:szCs w:val="24"/>
          <w:u w:val="none"/>
        </w:rPr>
        <w:fldChar w:fldCharType="end"/>
      </w:r>
      <w:r>
        <w:rPr>
          <w:rFonts w:ascii="Times New Roman" w:hAnsi="Times New Roman" w:eastAsia="微软雅黑"/>
          <w:sz w:val="24"/>
          <w:szCs w:val="24"/>
        </w:rPr>
        <w:t>, DK</w:t>
      </w:r>
      <w:r>
        <w:rPr>
          <w:rFonts w:hint="eastAsia" w:ascii="Times New Roman" w:hAnsi="Times New Roman" w:eastAsia="微软雅黑"/>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"https://xueshu.baidu.com/s?wd=author:(Tekeev)%20&amp;tn=SE_baiduxueshu_c1gjeupa&amp;ie=utf-8&amp;sc_f_para=sc_hilight=person"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Tekeev</w:t>
      </w:r>
      <w:r>
        <w:rPr>
          <w:rStyle w:val="5"/>
          <w:rFonts w:ascii="Times New Roman" w:hAnsi="Times New Roman" w:eastAsia="微软雅黑"/>
          <w:color w:val="auto"/>
          <w:sz w:val="24"/>
          <w:szCs w:val="24"/>
          <w:u w:val="none"/>
        </w:rPr>
        <w:fldChar w:fldCharType="end"/>
      </w:r>
      <w:r>
        <w:rPr>
          <w:rFonts w:ascii="Times New Roman" w:hAnsi="Times New Roman" w:eastAsia="微软雅黑"/>
          <w:sz w:val="24"/>
          <w:szCs w:val="24"/>
        </w:rPr>
        <w:t>, JHC</w:t>
      </w:r>
      <w:r>
        <w:rPr>
          <w:rFonts w:hint="eastAsia" w:ascii="Times New Roman" w:hAnsi="Times New Roman" w:eastAsia="微软雅黑"/>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"https://xueshu.baidu.com/s?wd=author:(Cornelissen)%20&amp;tn=SE_baiduxueshu_c1gjeupa&amp;ie=utf-8&amp;sc_f_para=sc_hilight=person"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Cornelissen</w:t>
      </w:r>
      <w:r>
        <w:rPr>
          <w:rStyle w:val="5"/>
          <w:rFonts w:ascii="Times New Roman" w:hAnsi="Times New Roman" w:eastAsia="微软雅黑"/>
          <w:color w:val="auto"/>
          <w:sz w:val="24"/>
          <w:szCs w:val="24"/>
          <w:u w:val="none"/>
        </w:rPr>
        <w:fldChar w:fldCharType="end"/>
      </w:r>
      <w:r>
        <w:rPr>
          <w:rFonts w:hint="eastAsia" w:ascii="Times New Roman" w:hAnsi="Times New Roman" w:eastAsia="微软雅黑"/>
          <w:sz w:val="24"/>
          <w:szCs w:val="24"/>
          <w:shd w:val="clear" w:color="auto" w:fill="FFFFFF"/>
        </w:rPr>
        <w:t xml:space="preserve"> (</w:t>
      </w:r>
      <w:r>
        <w:rPr>
          <w:rFonts w:ascii="Times New Roman" w:hAnsi="Times New Roman"/>
          <w:sz w:val="24"/>
          <w:szCs w:val="24"/>
        </w:rPr>
        <w:t>2013</w:t>
      </w:r>
      <w:r>
        <w:rPr>
          <w:rFonts w:hint="eastAsia" w:ascii="Times New Roman" w:hAnsi="Times New Roman"/>
          <w:sz w:val="24"/>
          <w:szCs w:val="24"/>
        </w:rPr>
        <w:t>)</w:t>
      </w:r>
      <w:r>
        <w:rPr>
          <w:rFonts w:ascii="Times New Roman" w:hAnsi="Times New Roman"/>
          <w:sz w:val="24"/>
          <w:szCs w:val="24"/>
          <w:shd w:val="clear" w:color="auto" w:fill="FFFFFF"/>
        </w:rPr>
        <w:t>. Functional traits predict relationship between plant abundance dynamic and long-term climate warming.</w:t>
      </w:r>
      <w:r>
        <w:rPr>
          <w:rFonts w:ascii="Times New Roman" w:hAnsi="Times New Roman"/>
          <w:iCs/>
          <w:sz w:val="24"/>
          <w:szCs w:val="24"/>
          <w:shd w:val="clear" w:color="auto" w:fill="FFFFFF"/>
        </w:rPr>
        <w:t xml:space="preserve"> </w:t>
      </w:r>
      <w:r>
        <w:rPr>
          <w:rFonts w:ascii="Times New Roman" w:hAnsi="Times New Roman"/>
          <w:i/>
          <w:sz w:val="24"/>
          <w:szCs w:val="24"/>
          <w:shd w:val="clear" w:color="auto" w:fill="FFFFFF"/>
        </w:rPr>
        <w:t>Proceedings of the National Academy of Sciences of the United States of America</w:t>
      </w:r>
      <w:r>
        <w:rPr>
          <w:rFonts w:ascii="Times New Roman" w:hAnsi="Times New Roman"/>
          <w:iCs/>
          <w:sz w:val="24"/>
          <w:szCs w:val="24"/>
          <w:shd w:val="clear" w:color="auto" w:fill="FFFFFF"/>
        </w:rPr>
        <w:t xml:space="preserve"> 110(45)</w:t>
      </w:r>
      <w:r>
        <w:rPr>
          <w:rFonts w:ascii="Times New Roman" w:hAnsi="Times New Roman"/>
          <w:sz w:val="24"/>
          <w:szCs w:val="24"/>
          <w:shd w:val="clear" w:color="auto" w:fill="FFFFFF"/>
        </w:rPr>
        <w:t>: 18180-18184.</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Stewart JJ, SK</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Polutchko, WW</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Adams, B</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Demmig-Adams</w:t>
      </w:r>
      <w:r>
        <w:rPr>
          <w:rFonts w:hint="eastAsia" w:ascii="Times New Roman" w:hAnsi="Times New Roman"/>
          <w:sz w:val="24"/>
          <w:szCs w:val="24"/>
          <w:shd w:val="clear" w:color="auto" w:fill="FFFFFF"/>
        </w:rPr>
        <w:t xml:space="preserve"> (</w:t>
      </w:r>
      <w:r>
        <w:rPr>
          <w:rFonts w:ascii="Times New Roman" w:hAnsi="Times New Roman"/>
          <w:sz w:val="24"/>
          <w:szCs w:val="24"/>
        </w:rPr>
        <w:t>2017</w:t>
      </w:r>
      <w:r>
        <w:rPr>
          <w:rFonts w:hint="eastAsia" w:ascii="Times New Roman" w:hAnsi="Times New Roman"/>
          <w:sz w:val="24"/>
          <w:szCs w:val="24"/>
        </w:rPr>
        <w:t>)</w:t>
      </w:r>
      <w:r>
        <w:rPr>
          <w:rFonts w:ascii="Times New Roman" w:hAnsi="Times New Roman"/>
          <w:sz w:val="24"/>
          <w:szCs w:val="24"/>
          <w:shd w:val="clear" w:color="auto" w:fill="FFFFFF"/>
        </w:rPr>
        <w:t xml:space="preserve">. Acclimation of Swedish and Italian ecotypes of </w:t>
      </w:r>
      <w:r>
        <w:rPr>
          <w:rFonts w:ascii="Times New Roman" w:hAnsi="Times New Roman"/>
          <w:i/>
          <w:sz w:val="24"/>
          <w:szCs w:val="24"/>
          <w:shd w:val="clear" w:color="auto" w:fill="FFFFFF"/>
        </w:rPr>
        <w:t>Arabidopsis thaliana</w:t>
      </w:r>
      <w:r>
        <w:rPr>
          <w:rFonts w:ascii="Times New Roman" w:hAnsi="Times New Roman"/>
          <w:sz w:val="24"/>
          <w:szCs w:val="24"/>
          <w:shd w:val="clear" w:color="auto" w:fill="FFFFFF"/>
        </w:rPr>
        <w:t xml:space="preserve"> to light intensity. </w:t>
      </w:r>
      <w:r>
        <w:rPr>
          <w:rFonts w:ascii="Times New Roman" w:hAnsi="Times New Roman"/>
          <w:i/>
          <w:iCs/>
          <w:sz w:val="24"/>
          <w:szCs w:val="24"/>
          <w:shd w:val="clear" w:color="auto" w:fill="FFFFFF"/>
        </w:rPr>
        <w:t>Photosynthesis Research</w:t>
      </w:r>
      <w:r>
        <w:rPr>
          <w:rFonts w:hint="eastAsia" w:ascii="Times New Roman" w:hAnsi="Times New Roman"/>
          <w:i/>
          <w:iCs/>
          <w:sz w:val="24"/>
          <w:szCs w:val="24"/>
          <w:shd w:val="clear" w:color="auto" w:fill="FFFFFF"/>
        </w:rPr>
        <w:t xml:space="preserve"> </w:t>
      </w:r>
      <w:r>
        <w:rPr>
          <w:rFonts w:ascii="Times New Roman" w:hAnsi="Times New Roman"/>
          <w:iCs/>
          <w:sz w:val="24"/>
          <w:szCs w:val="24"/>
          <w:shd w:val="clear" w:color="auto" w:fill="FFFFFF"/>
        </w:rPr>
        <w:t>134(2)</w:t>
      </w:r>
      <w:r>
        <w:rPr>
          <w:rFonts w:ascii="Times New Roman" w:hAnsi="Times New Roman"/>
          <w:sz w:val="24"/>
          <w:szCs w:val="24"/>
          <w:shd w:val="clear" w:color="auto" w:fill="FFFFFF"/>
        </w:rPr>
        <w:t>: 215-229.</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Sun M, SJ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Yang, JL</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Zhang, M</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Bartlett, SB</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Zhang</w:t>
      </w:r>
      <w:r>
        <w:rPr>
          <w:rFonts w:hint="eastAsia" w:ascii="Times New Roman" w:hAnsi="Times New Roman"/>
          <w:sz w:val="24"/>
          <w:szCs w:val="24"/>
          <w:shd w:val="clear" w:color="auto" w:fill="FFFFFF"/>
        </w:rPr>
        <w:t xml:space="preserve"> (</w:t>
      </w:r>
      <w:r>
        <w:rPr>
          <w:rFonts w:ascii="Times New Roman" w:hAnsi="Times New Roman"/>
          <w:sz w:val="24"/>
          <w:szCs w:val="24"/>
        </w:rPr>
        <w:t>2014</w:t>
      </w:r>
      <w:r>
        <w:rPr>
          <w:rFonts w:hint="eastAsia" w:ascii="Times New Roman" w:hAnsi="Times New Roman"/>
          <w:sz w:val="24"/>
          <w:szCs w:val="24"/>
        </w:rPr>
        <w:t>)</w:t>
      </w:r>
      <w:r>
        <w:rPr>
          <w:rFonts w:ascii="Times New Roman" w:hAnsi="Times New Roman"/>
          <w:sz w:val="24"/>
          <w:szCs w:val="24"/>
          <w:shd w:val="clear" w:color="auto" w:fill="FFFFFF"/>
        </w:rPr>
        <w:t xml:space="preserve">. Correlated evolution in traits influencing leaf water balance in </w:t>
      </w:r>
      <w:r>
        <w:rPr>
          <w:rFonts w:ascii="Times New Roman" w:hAnsi="Times New Roman"/>
          <w:i/>
          <w:sz w:val="24"/>
          <w:szCs w:val="24"/>
          <w:shd w:val="clear" w:color="auto" w:fill="FFFFFF"/>
        </w:rPr>
        <w:t>Dendrobium</w:t>
      </w:r>
      <w:r>
        <w:rPr>
          <w:rFonts w:ascii="Times New Roman" w:hAnsi="Times New Roman"/>
          <w:sz w:val="24"/>
          <w:szCs w:val="24"/>
          <w:shd w:val="clear" w:color="auto" w:fill="FFFFFF"/>
        </w:rPr>
        <w:t xml:space="preserve"> (Orchidaceae). </w:t>
      </w:r>
      <w:r>
        <w:rPr>
          <w:rFonts w:ascii="Times New Roman" w:hAnsi="Times New Roman"/>
          <w:i/>
          <w:iCs/>
          <w:sz w:val="24"/>
          <w:szCs w:val="24"/>
          <w:shd w:val="clear" w:color="auto" w:fill="FFFFFF"/>
        </w:rPr>
        <w:t>Plant Ecology</w:t>
      </w:r>
      <w:r>
        <w:rPr>
          <w:rFonts w:ascii="Times New Roman" w:hAnsi="Times New Roman"/>
          <w:iCs/>
          <w:sz w:val="24"/>
          <w:szCs w:val="24"/>
          <w:shd w:val="clear" w:color="auto" w:fill="FFFFFF"/>
        </w:rPr>
        <w:t xml:space="preserve"> 215(11)</w:t>
      </w:r>
      <w:r>
        <w:rPr>
          <w:rFonts w:ascii="Times New Roman" w:hAnsi="Times New Roman"/>
          <w:sz w:val="24"/>
          <w:szCs w:val="24"/>
          <w:shd w:val="clear" w:color="auto" w:fill="FFFFFF"/>
        </w:rPr>
        <w:t>: 1255-1267.</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Sun M, T</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Su, S</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Zhang, S</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Li, 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Anberree-Lebreton, Z</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Zhou</w:t>
      </w:r>
      <w:r>
        <w:rPr>
          <w:rFonts w:hint="eastAsia" w:ascii="Times New Roman" w:hAnsi="Times New Roman"/>
          <w:sz w:val="24"/>
          <w:szCs w:val="24"/>
          <w:shd w:val="clear" w:color="auto" w:fill="FFFFFF"/>
        </w:rPr>
        <w:t xml:space="preserve"> (</w:t>
      </w:r>
      <w:r>
        <w:rPr>
          <w:rFonts w:ascii="Times New Roman" w:hAnsi="Times New Roman"/>
          <w:sz w:val="24"/>
          <w:szCs w:val="24"/>
        </w:rPr>
        <w:t>2016</w:t>
      </w:r>
      <w:r>
        <w:rPr>
          <w:rFonts w:hint="eastAsia" w:ascii="Times New Roman" w:hAnsi="Times New Roman"/>
          <w:sz w:val="24"/>
          <w:szCs w:val="24"/>
        </w:rPr>
        <w:t>)</w:t>
      </w:r>
      <w:r>
        <w:rPr>
          <w:rFonts w:ascii="Times New Roman" w:hAnsi="Times New Roman"/>
          <w:sz w:val="24"/>
          <w:szCs w:val="24"/>
          <w:shd w:val="clear" w:color="auto" w:fill="FFFFFF"/>
        </w:rPr>
        <w:t xml:space="preserve">. Variations in leaf morphological traits of </w:t>
      </w:r>
      <w:r>
        <w:rPr>
          <w:rFonts w:ascii="Times New Roman" w:hAnsi="Times New Roman"/>
          <w:i/>
          <w:sz w:val="24"/>
          <w:szCs w:val="24"/>
          <w:shd w:val="clear" w:color="auto" w:fill="FFFFFF"/>
        </w:rPr>
        <w:t>Quercus guyavifolia</w:t>
      </w:r>
      <w:r>
        <w:rPr>
          <w:rFonts w:ascii="Times New Roman" w:hAnsi="Times New Roman"/>
          <w:sz w:val="24"/>
          <w:szCs w:val="24"/>
          <w:shd w:val="clear" w:color="auto" w:fill="FFFFFF"/>
        </w:rPr>
        <w:t xml:space="preserve"> (Fagaceae) were mainly influenced by water and ultraviolet irradiation at high elevations on the Qinghai-Tibet Plateau, China. </w:t>
      </w:r>
      <w:r>
        <w:rPr>
          <w:rFonts w:ascii="Times New Roman" w:hAnsi="Times New Roman"/>
          <w:i/>
          <w:sz w:val="24"/>
          <w:szCs w:val="24"/>
          <w:shd w:val="clear" w:color="auto" w:fill="FFFFFF"/>
        </w:rPr>
        <w:t>International Journal of Agriculture and Biology</w:t>
      </w:r>
      <w:r>
        <w:rPr>
          <w:rFonts w:ascii="Times New Roman" w:hAnsi="Times New Roman"/>
          <w:sz w:val="24"/>
          <w:szCs w:val="24"/>
          <w:shd w:val="clear" w:color="auto" w:fill="FFFFFF"/>
        </w:rPr>
        <w:t>18(1): 266-273.</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Wang R</w:t>
      </w:r>
      <w:r>
        <w:rPr>
          <w:rFonts w:hint="eastAsia" w:ascii="Times New Roman" w:hAnsi="Times New Roman"/>
          <w:sz w:val="24"/>
          <w:szCs w:val="24"/>
          <w:shd w:val="clear" w:color="auto" w:fill="FFFFFF"/>
        </w:rPr>
        <w:t>,</w:t>
      </w:r>
      <w:r>
        <w:rPr>
          <w:rFonts w:ascii="Times New Roman" w:hAnsi="Times New Roman"/>
          <w:sz w:val="24"/>
          <w:szCs w:val="24"/>
          <w:shd w:val="clear" w:color="auto" w:fill="FFFFFF"/>
        </w:rPr>
        <w:t xml:space="preserve"> G</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Yu, N</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He,</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"https://xueshu.baidu.com/s?wd=author:(Qiufeng%20Wang)%20%5bWang&amp;tn=SE_baiduxueshu_c1gjeupa&amp;ie=utf-8&amp;sc_f_para=sc_hilight=person" \t "https://xueshu.baidu.com/usercenter/paper/_blank" </w:instrText>
      </w:r>
      <w:r>
        <w:rPr>
          <w:rFonts w:ascii="Times New Roman" w:hAnsi="Times New Roman"/>
          <w:sz w:val="24"/>
          <w:szCs w:val="24"/>
        </w:rPr>
        <w:fldChar w:fldCharType="separate"/>
      </w:r>
      <w:r>
        <w:rPr>
          <w:rFonts w:ascii="Times New Roman" w:hAnsi="Times New Roman" w:eastAsia="微软雅黑"/>
          <w:sz w:val="24"/>
          <w:szCs w:val="24"/>
        </w:rPr>
        <w:t xml:space="preserve"> QF</w:t>
      </w:r>
      <w:r>
        <w:rPr>
          <w:rFonts w:hint="eastAsia" w:ascii="Times New Roman" w:hAnsi="Times New Roman" w:eastAsia="微软雅黑"/>
          <w:sz w:val="24"/>
          <w:szCs w:val="24"/>
        </w:rPr>
        <w:t xml:space="preserve"> </w:t>
      </w:r>
      <w:r>
        <w:rPr>
          <w:rStyle w:val="5"/>
          <w:rFonts w:ascii="Times New Roman" w:hAnsi="Times New Roman" w:eastAsia="微软雅黑"/>
          <w:color w:val="auto"/>
          <w:sz w:val="24"/>
          <w:szCs w:val="24"/>
          <w:u w:val="none"/>
        </w:rPr>
        <w:t>Wang</w:t>
      </w:r>
      <w:r>
        <w:rPr>
          <w:rStyle w:val="5"/>
          <w:rFonts w:ascii="Times New Roman" w:hAnsi="Times New Roman" w:eastAsia="微软雅黑"/>
          <w:color w:val="auto"/>
          <w:sz w:val="24"/>
          <w:szCs w:val="24"/>
          <w:u w:val="none"/>
        </w:rPr>
        <w:fldChar w:fldCharType="end"/>
      </w:r>
      <w:r>
        <w:rPr>
          <w:rFonts w:ascii="Times New Roman" w:hAnsi="Times New Roman" w:eastAsia="微软雅黑"/>
          <w:sz w:val="24"/>
          <w:szCs w:val="24"/>
        </w:rPr>
        <w:t>,</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"https://xueshu.baidu.com/s?wd=author:(Fucai%20Xia)%20%5bWang&amp;tn=SE_baiduxueshu_c1gjeupa&amp;ie=utf-8&amp;sc_f_para=sc_hilight=person" \t "https://xueshu.baidu.com/usercenter/paper/_blank" </w:instrText>
      </w:r>
      <w:r>
        <w:rPr>
          <w:rFonts w:ascii="Times New Roman" w:hAnsi="Times New Roman"/>
          <w:sz w:val="24"/>
          <w:szCs w:val="24"/>
        </w:rPr>
        <w:fldChar w:fldCharType="separate"/>
      </w:r>
      <w:r>
        <w:rPr>
          <w:rFonts w:ascii="Times New Roman" w:hAnsi="Times New Roman" w:eastAsia="微软雅黑"/>
          <w:sz w:val="24"/>
          <w:szCs w:val="24"/>
        </w:rPr>
        <w:t xml:space="preserve"> FC</w:t>
      </w:r>
      <w:r>
        <w:rPr>
          <w:rFonts w:hint="eastAsia" w:ascii="Times New Roman" w:hAnsi="Times New Roman" w:eastAsia="微软雅黑"/>
          <w:sz w:val="24"/>
          <w:szCs w:val="24"/>
        </w:rPr>
        <w:t xml:space="preserve"> </w:t>
      </w:r>
      <w:r>
        <w:rPr>
          <w:rStyle w:val="5"/>
          <w:rFonts w:ascii="Times New Roman" w:hAnsi="Times New Roman" w:eastAsia="微软雅黑"/>
          <w:color w:val="auto"/>
          <w:sz w:val="24"/>
          <w:szCs w:val="24"/>
          <w:u w:val="none"/>
        </w:rPr>
        <w:t>Xia</w:t>
      </w:r>
      <w:r>
        <w:rPr>
          <w:rStyle w:val="5"/>
          <w:rFonts w:ascii="Times New Roman" w:hAnsi="Times New Roman" w:eastAsia="微软雅黑"/>
          <w:color w:val="auto"/>
          <w:sz w:val="24"/>
          <w:szCs w:val="24"/>
          <w:u w:val="none"/>
        </w:rPr>
        <w:fldChar w:fldCharType="end"/>
      </w:r>
      <w:r>
        <w:rPr>
          <w:rFonts w:ascii="Times New Roman" w:hAnsi="Times New Roman" w:eastAsia="微软雅黑"/>
          <w:sz w:val="24"/>
          <w:szCs w:val="24"/>
        </w:rPr>
        <w:t>,</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"https://xueshu.baidu.com/s?wd=author:(Ning%20Zhao)%20%5bWang&amp;tn=SE_baiduxueshu_c1gjeupa&amp;ie=utf-8&amp;sc_f_para=sc_hilight=person" \t "https://xueshu.baidu.com/usercenter/paper/_blank" </w:instrText>
      </w:r>
      <w:r>
        <w:rPr>
          <w:rFonts w:ascii="Times New Roman" w:hAnsi="Times New Roman"/>
          <w:sz w:val="24"/>
          <w:szCs w:val="24"/>
        </w:rPr>
        <w:fldChar w:fldCharType="separate"/>
      </w:r>
      <w:r>
        <w:rPr>
          <w:rFonts w:ascii="Times New Roman" w:hAnsi="Times New Roman" w:eastAsia="微软雅黑"/>
          <w:sz w:val="24"/>
          <w:szCs w:val="24"/>
        </w:rPr>
        <w:t xml:space="preserve"> N</w:t>
      </w:r>
      <w:r>
        <w:rPr>
          <w:rFonts w:hint="eastAsia" w:ascii="Times New Roman" w:hAnsi="Times New Roman" w:eastAsia="微软雅黑"/>
          <w:sz w:val="24"/>
          <w:szCs w:val="24"/>
        </w:rPr>
        <w:t xml:space="preserve"> </w:t>
      </w:r>
      <w:r>
        <w:rPr>
          <w:rStyle w:val="5"/>
          <w:rFonts w:ascii="Times New Roman" w:hAnsi="Times New Roman" w:eastAsia="微软雅黑"/>
          <w:color w:val="auto"/>
          <w:sz w:val="24"/>
          <w:szCs w:val="24"/>
          <w:u w:val="none"/>
        </w:rPr>
        <w:t>Zhao</w:t>
      </w:r>
      <w:r>
        <w:rPr>
          <w:rStyle w:val="5"/>
          <w:rFonts w:ascii="Times New Roman" w:hAnsi="Times New Roman" w:eastAsia="微软雅黑"/>
          <w:color w:val="auto"/>
          <w:sz w:val="24"/>
          <w:szCs w:val="24"/>
          <w:u w:val="none"/>
        </w:rPr>
        <w:fldChar w:fldCharType="end"/>
      </w:r>
      <w:r>
        <w:rPr>
          <w:rFonts w:ascii="Times New Roman" w:hAnsi="Times New Roman" w:eastAsia="微软雅黑"/>
          <w:sz w:val="24"/>
          <w:szCs w:val="24"/>
        </w:rPr>
        <w:t>, ZW</w:t>
      </w:r>
      <w:r>
        <w:rPr>
          <w:rFonts w:hint="eastAsia" w:ascii="Times New Roman" w:hAnsi="Times New Roman" w:eastAsia="微软雅黑"/>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"https://xueshu.baidu.com/s?wd=author:(Zhiwei%20Xu)%20%5bWang&amp;tn=SE_baiduxueshu_c1gjeupa&amp;ie=utf-8&amp;sc_f_para=sc_hilight=person"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Xu</w:t>
      </w:r>
      <w:r>
        <w:rPr>
          <w:rStyle w:val="5"/>
          <w:rFonts w:ascii="Times New Roman" w:hAnsi="Times New Roman" w:eastAsia="微软雅黑"/>
          <w:color w:val="auto"/>
          <w:sz w:val="24"/>
          <w:szCs w:val="24"/>
          <w:u w:val="none"/>
        </w:rPr>
        <w:fldChar w:fldCharType="end"/>
      </w:r>
      <w:r>
        <w:rPr>
          <w:rFonts w:ascii="Times New Roman" w:hAnsi="Times New Roman" w:eastAsia="微软雅黑"/>
          <w:sz w:val="24"/>
          <w:szCs w:val="24"/>
        </w:rPr>
        <w:t>, JP</w:t>
      </w:r>
      <w:r>
        <w:rPr>
          <w:rFonts w:hint="eastAsia" w:ascii="Times New Roman" w:hAnsi="Times New Roman" w:eastAsia="微软雅黑"/>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"https://xueshu.baidu.com/s?wd=author:(Jianping%20Ge)%20%5bWang&amp;tn=SE_baiduxueshu_c1gjeupa&amp;ie=utf-8&amp;sc_f_para=sc_hilight=person" \t "https://xueshu.baidu.com/usercenter/paper/_blank" </w:instrText>
      </w:r>
      <w:r>
        <w:rPr>
          <w:rFonts w:ascii="Times New Roman" w:hAnsi="Times New Roman"/>
          <w:sz w:val="24"/>
          <w:szCs w:val="24"/>
        </w:rPr>
        <w:fldChar w:fldCharType="separate"/>
      </w:r>
      <w:r>
        <w:rPr>
          <w:rStyle w:val="5"/>
          <w:rFonts w:ascii="Times New Roman" w:hAnsi="Times New Roman" w:eastAsia="微软雅黑"/>
          <w:color w:val="auto"/>
          <w:sz w:val="24"/>
          <w:szCs w:val="24"/>
          <w:u w:val="none"/>
        </w:rPr>
        <w:t>Ge</w:t>
      </w:r>
      <w:r>
        <w:rPr>
          <w:rStyle w:val="5"/>
          <w:rFonts w:ascii="Times New Roman" w:hAnsi="Times New Roman" w:eastAsia="微软雅黑"/>
          <w:color w:val="auto"/>
          <w:sz w:val="24"/>
          <w:szCs w:val="24"/>
          <w:u w:val="none"/>
        </w:rPr>
        <w:fldChar w:fldCharType="end"/>
      </w:r>
      <w:r>
        <w:rPr>
          <w:rFonts w:hint="eastAsia" w:ascii="Times New Roman" w:hAnsi="Times New Roman" w:eastAsia="微软雅黑"/>
          <w:sz w:val="24"/>
          <w:szCs w:val="24"/>
          <w:shd w:val="clear" w:color="auto" w:fill="FFFFFF"/>
        </w:rPr>
        <w:t xml:space="preserve"> (</w:t>
      </w:r>
      <w:r>
        <w:rPr>
          <w:rFonts w:ascii="Times New Roman" w:hAnsi="Times New Roman"/>
          <w:sz w:val="24"/>
          <w:szCs w:val="24"/>
        </w:rPr>
        <w:t>2014</w:t>
      </w:r>
      <w:r>
        <w:rPr>
          <w:rFonts w:hint="eastAsia" w:ascii="Times New Roman" w:hAnsi="Times New Roman"/>
          <w:sz w:val="24"/>
          <w:szCs w:val="24"/>
        </w:rPr>
        <w:t>)</w:t>
      </w:r>
      <w:r>
        <w:rPr>
          <w:rFonts w:ascii="Times New Roman" w:hAnsi="Times New Roman"/>
          <w:sz w:val="24"/>
          <w:szCs w:val="24"/>
          <w:shd w:val="clear" w:color="auto" w:fill="FFFFFF"/>
        </w:rPr>
        <w:t xml:space="preserve">. Elevation-related variation in leaf stomatal traits as a function of plant functional type: evidence from Changbai Mountain, China. </w:t>
      </w:r>
      <w:r>
        <w:rPr>
          <w:rFonts w:ascii="Times New Roman" w:hAnsi="Times New Roman"/>
          <w:i/>
          <w:iCs/>
          <w:sz w:val="24"/>
          <w:szCs w:val="24"/>
          <w:shd w:val="clear" w:color="auto" w:fill="FFFFFF"/>
        </w:rPr>
        <w:t>PLoS ONE</w:t>
      </w:r>
      <w:r>
        <w:rPr>
          <w:rFonts w:ascii="Times New Roman" w:hAnsi="Times New Roman"/>
          <w:iCs/>
          <w:sz w:val="24"/>
          <w:szCs w:val="24"/>
          <w:shd w:val="clear" w:color="auto" w:fill="FFFFFF"/>
        </w:rPr>
        <w:t xml:space="preserve"> 9</w:t>
      </w:r>
      <w:r>
        <w:rPr>
          <w:rFonts w:ascii="Times New Roman" w:hAnsi="Times New Roman"/>
          <w:sz w:val="24"/>
          <w:szCs w:val="24"/>
          <w:shd w:val="clear" w:color="auto" w:fill="FFFFFF"/>
        </w:rPr>
        <w:t>: e115395.</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Wu Z,  S</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Chen</w:t>
      </w:r>
      <w:r>
        <w:rPr>
          <w:rFonts w:hint="eastAsia" w:ascii="Times New Roman" w:hAnsi="Times New Roman"/>
          <w:sz w:val="24"/>
          <w:szCs w:val="24"/>
          <w:shd w:val="clear" w:color="auto" w:fill="FFFFFF"/>
        </w:rPr>
        <w:t xml:space="preserve"> (</w:t>
      </w:r>
      <w:r>
        <w:rPr>
          <w:rFonts w:ascii="Times New Roman" w:hAnsi="Times New Roman"/>
          <w:sz w:val="24"/>
          <w:szCs w:val="24"/>
        </w:rPr>
        <w:t>2000</w:t>
      </w:r>
      <w:r>
        <w:rPr>
          <w:rFonts w:hint="eastAsia" w:ascii="Times New Roman" w:hAnsi="Times New Roman"/>
          <w:sz w:val="24"/>
          <w:szCs w:val="24"/>
        </w:rPr>
        <w:t>)</w:t>
      </w:r>
      <w:r>
        <w:rPr>
          <w:rFonts w:ascii="Times New Roman" w:hAnsi="Times New Roman"/>
          <w:sz w:val="24"/>
          <w:szCs w:val="24"/>
          <w:shd w:val="clear" w:color="auto" w:fill="FFFFFF"/>
        </w:rPr>
        <w:t xml:space="preserve">. </w:t>
      </w:r>
      <w:r>
        <w:rPr>
          <w:rFonts w:ascii="Times New Roman" w:hAnsi="Times New Roman"/>
          <w:i/>
          <w:iCs/>
          <w:sz w:val="24"/>
          <w:szCs w:val="24"/>
          <w:shd w:val="clear" w:color="auto" w:fill="FFFFFF"/>
        </w:rPr>
        <w:t>Vegetation in China</w:t>
      </w:r>
      <w:r>
        <w:rPr>
          <w:rFonts w:ascii="Times New Roman" w:hAnsi="Times New Roman"/>
          <w:sz w:val="24"/>
          <w:szCs w:val="24"/>
          <w:shd w:val="clear" w:color="auto" w:fill="FFFFFF"/>
        </w:rPr>
        <w:t>. Science Press</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Beijing</w:t>
      </w:r>
      <w:r>
        <w:rPr>
          <w:rFonts w:hint="eastAsia" w:ascii="Times New Roman" w:hAnsi="Times New Roman"/>
          <w:sz w:val="24"/>
          <w:szCs w:val="24"/>
          <w:shd w:val="clear" w:color="auto" w:fill="FFFFFF"/>
        </w:rPr>
        <w:t>，China</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Zhang K, S</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Pan, L</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Cao, Y</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Wang, Y</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Zhao, W</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Zhang</w:t>
      </w:r>
      <w:r>
        <w:rPr>
          <w:rFonts w:hint="eastAsia" w:ascii="Times New Roman" w:hAnsi="Times New Roman"/>
          <w:sz w:val="24"/>
          <w:szCs w:val="24"/>
          <w:shd w:val="clear" w:color="auto" w:fill="FFFFFF"/>
        </w:rPr>
        <w:t xml:space="preserve"> (</w:t>
      </w:r>
      <w:r>
        <w:rPr>
          <w:rFonts w:ascii="Times New Roman" w:hAnsi="Times New Roman"/>
          <w:sz w:val="24"/>
          <w:szCs w:val="24"/>
        </w:rPr>
        <w:t>2014a</w:t>
      </w:r>
      <w:r>
        <w:rPr>
          <w:rFonts w:hint="eastAsia" w:ascii="Times New Roman" w:hAnsi="Times New Roman"/>
          <w:sz w:val="24"/>
          <w:szCs w:val="24"/>
        </w:rPr>
        <w:t>)</w:t>
      </w:r>
      <w:r>
        <w:rPr>
          <w:rFonts w:ascii="Times New Roman" w:hAnsi="Times New Roman"/>
          <w:sz w:val="24"/>
          <w:szCs w:val="24"/>
          <w:shd w:val="clear" w:color="auto" w:fill="FFFFFF"/>
        </w:rPr>
        <w:t xml:space="preserve">. Spatial distribution and temporal trends in precipitation extremes over the Hengduan Mountains region, China, from 1961 to 2012. </w:t>
      </w:r>
      <w:r>
        <w:rPr>
          <w:rFonts w:ascii="Times New Roman" w:hAnsi="Times New Roman"/>
          <w:i/>
          <w:sz w:val="24"/>
          <w:szCs w:val="24"/>
          <w:shd w:val="clear" w:color="auto" w:fill="FFFFFF"/>
        </w:rPr>
        <w:t>Quaternary International</w:t>
      </w:r>
      <w:r>
        <w:rPr>
          <w:rFonts w:ascii="Times New Roman" w:hAnsi="Times New Roman"/>
          <w:sz w:val="24"/>
          <w:szCs w:val="24"/>
          <w:shd w:val="clear" w:color="auto" w:fill="FFFFFF"/>
        </w:rPr>
        <w:t xml:space="preserve"> 349: 346-356.</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Zhang SB, M</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Sun,</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K.F</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Cao, H</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Hu, JL</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Zhang</w:t>
      </w:r>
      <w:r>
        <w:rPr>
          <w:rFonts w:hint="eastAsia" w:ascii="Times New Roman" w:hAnsi="Times New Roman"/>
          <w:sz w:val="24"/>
          <w:szCs w:val="24"/>
          <w:shd w:val="clear" w:color="auto" w:fill="FFFFFF"/>
        </w:rPr>
        <w:t xml:space="preserve"> (</w:t>
      </w:r>
      <w:r>
        <w:rPr>
          <w:rFonts w:ascii="Times New Roman" w:hAnsi="Times New Roman"/>
          <w:sz w:val="24"/>
          <w:szCs w:val="24"/>
        </w:rPr>
        <w:t>2014b</w:t>
      </w:r>
      <w:r>
        <w:rPr>
          <w:rFonts w:hint="eastAsia" w:ascii="Times New Roman" w:hAnsi="Times New Roman"/>
          <w:sz w:val="24"/>
          <w:szCs w:val="24"/>
        </w:rPr>
        <w:t>)</w:t>
      </w:r>
      <w:r>
        <w:rPr>
          <w:rFonts w:ascii="Times New Roman" w:hAnsi="Times New Roman"/>
          <w:sz w:val="24"/>
          <w:szCs w:val="24"/>
          <w:shd w:val="clear" w:color="auto" w:fill="FFFFFF"/>
        </w:rPr>
        <w:t xml:space="preserve">. Leaf photosynthetic rate of tropical ferns is evolutionarily linked to water transport capacity. </w:t>
      </w:r>
      <w:r>
        <w:rPr>
          <w:rFonts w:ascii="Times New Roman" w:hAnsi="Times New Roman"/>
          <w:i/>
          <w:iCs/>
          <w:sz w:val="24"/>
          <w:szCs w:val="24"/>
          <w:shd w:val="clear" w:color="auto" w:fill="FFFFFF"/>
        </w:rPr>
        <w:t>PLoS ONE</w:t>
      </w:r>
      <w:r>
        <w:rPr>
          <w:rFonts w:ascii="Times New Roman" w:hAnsi="Times New Roman"/>
          <w:sz w:val="24"/>
          <w:szCs w:val="24"/>
          <w:shd w:val="clear" w:color="auto" w:fill="FFFFFF"/>
        </w:rPr>
        <w:t xml:space="preserve"> </w:t>
      </w:r>
      <w:r>
        <w:rPr>
          <w:rFonts w:ascii="Times New Roman" w:hAnsi="Times New Roman"/>
          <w:iCs/>
          <w:sz w:val="24"/>
          <w:szCs w:val="24"/>
          <w:shd w:val="clear" w:color="auto" w:fill="FFFFFF"/>
        </w:rPr>
        <w:t>9(1)</w:t>
      </w:r>
      <w:r>
        <w:rPr>
          <w:rFonts w:ascii="Times New Roman" w:hAnsi="Times New Roman"/>
          <w:sz w:val="24"/>
          <w:szCs w:val="24"/>
          <w:shd w:val="clear" w:color="auto" w:fill="FFFFFF"/>
        </w:rPr>
        <w:t>: e84682.</w:t>
      </w:r>
    </w:p>
    <w:p>
      <w:pPr>
        <w:spacing w:line="480" w:lineRule="auto"/>
        <w:ind w:left="480" w:hanging="480" w:hangingChars="200"/>
        <w:rPr>
          <w:rFonts w:ascii="Times New Roman" w:hAnsi="Times New Roman"/>
          <w:sz w:val="24"/>
          <w:szCs w:val="24"/>
          <w:shd w:val="clear" w:color="auto" w:fill="FFFFFF"/>
        </w:rPr>
      </w:pPr>
      <w:r>
        <w:rPr>
          <w:rFonts w:ascii="Times New Roman" w:hAnsi="Times New Roman"/>
          <w:sz w:val="24"/>
          <w:szCs w:val="24"/>
          <w:shd w:val="clear" w:color="auto" w:fill="FFFFFF"/>
        </w:rPr>
        <w:t>Zhao W, Y</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Chen, TJ</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Brodribb, K</w:t>
      </w:r>
      <w:r>
        <w:rPr>
          <w:rFonts w:hint="eastAsia" w:ascii="Times New Roman" w:hAnsi="Times New Roman"/>
          <w:sz w:val="24"/>
          <w:szCs w:val="24"/>
          <w:shd w:val="clear" w:color="auto" w:fill="FFFFFF"/>
        </w:rPr>
        <w:t xml:space="preserve"> </w:t>
      </w:r>
      <w:r>
        <w:rPr>
          <w:rFonts w:ascii="Times New Roman" w:hAnsi="Times New Roman"/>
          <w:sz w:val="24"/>
          <w:szCs w:val="24"/>
          <w:shd w:val="clear" w:color="auto" w:fill="FFFFFF"/>
        </w:rPr>
        <w:t>Cao</w:t>
      </w:r>
      <w:r>
        <w:rPr>
          <w:rFonts w:hint="eastAsia" w:ascii="Times New Roman" w:hAnsi="Times New Roman"/>
          <w:sz w:val="24"/>
          <w:szCs w:val="24"/>
          <w:shd w:val="clear" w:color="auto" w:fill="FFFFFF"/>
        </w:rPr>
        <w:t xml:space="preserve"> (</w:t>
      </w:r>
      <w:r>
        <w:rPr>
          <w:rFonts w:ascii="Times New Roman" w:hAnsi="Times New Roman"/>
          <w:sz w:val="24"/>
          <w:szCs w:val="24"/>
        </w:rPr>
        <w:t>2016</w:t>
      </w:r>
      <w:r>
        <w:rPr>
          <w:rFonts w:hint="eastAsia" w:ascii="Times New Roman" w:hAnsi="Times New Roman"/>
          <w:sz w:val="24"/>
          <w:szCs w:val="24"/>
        </w:rPr>
        <w:t>)</w:t>
      </w:r>
      <w:r>
        <w:rPr>
          <w:rFonts w:ascii="Times New Roman" w:hAnsi="Times New Roman"/>
          <w:sz w:val="24"/>
          <w:szCs w:val="24"/>
          <w:shd w:val="clear" w:color="auto" w:fill="FFFFFF"/>
        </w:rPr>
        <w:t xml:space="preserve">. Weak co-ordination between vein and stomatal densities in 105 angiosperm tree species along altitudinal gradients in Southwest China. </w:t>
      </w:r>
      <w:r>
        <w:rPr>
          <w:rFonts w:ascii="Times New Roman" w:hAnsi="Times New Roman"/>
          <w:i/>
          <w:sz w:val="24"/>
          <w:szCs w:val="24"/>
          <w:shd w:val="clear" w:color="auto" w:fill="FFFFFF"/>
        </w:rPr>
        <w:t>Functional Plant Biology</w:t>
      </w:r>
      <w:r>
        <w:rPr>
          <w:rFonts w:ascii="Times New Roman" w:hAnsi="Times New Roman"/>
          <w:sz w:val="24"/>
          <w:szCs w:val="24"/>
          <w:shd w:val="clear" w:color="auto" w:fill="FFFFFF"/>
        </w:rPr>
        <w:t xml:space="preserve"> 43(12): 1126-1133.</w:t>
      </w:r>
    </w:p>
    <w:p>
      <w:pPr>
        <w:spacing w:line="480" w:lineRule="auto"/>
        <w:ind w:left="480" w:hanging="480" w:hangingChars="200"/>
        <w:rPr>
          <w:rFonts w:ascii="Times New Roman" w:hAnsi="Times New Roman"/>
          <w:sz w:val="24"/>
          <w:szCs w:val="24"/>
          <w:shd w:val="clear" w:color="auto" w:fill="FFFFFF"/>
        </w:rPr>
      </w:pPr>
    </w:p>
    <w:p>
      <w:pPr>
        <w:spacing w:line="480" w:lineRule="auto"/>
        <w:ind w:left="480" w:hanging="480" w:hangingChars="200"/>
        <w:rPr>
          <w:rFonts w:ascii="Times New Roman" w:hAnsi="Times New Roman"/>
          <w:sz w:val="24"/>
          <w:szCs w:val="24"/>
          <w:shd w:val="clear" w:color="auto" w:fill="FFFFFF"/>
        </w:rPr>
      </w:pPr>
    </w:p>
    <w:p>
      <w:pPr>
        <w:spacing w:line="480" w:lineRule="auto"/>
        <w:ind w:left="480" w:hanging="480" w:hangingChars="200"/>
        <w:rPr>
          <w:rFonts w:ascii="Times New Roman" w:hAnsi="Times New Roman"/>
          <w:sz w:val="24"/>
          <w:szCs w:val="24"/>
          <w:shd w:val="clear" w:color="auto" w:fill="FFFFFF"/>
        </w:rPr>
      </w:pPr>
    </w:p>
    <w:p>
      <w:pPr>
        <w:spacing w:line="480" w:lineRule="auto"/>
        <w:ind w:left="480" w:hanging="480" w:hangingChars="200"/>
        <w:rPr>
          <w:rFonts w:ascii="Times New Roman" w:hAnsi="Times New Roman"/>
          <w:sz w:val="24"/>
          <w:szCs w:val="24"/>
          <w:shd w:val="clear" w:color="auto" w:fill="FFFFFF"/>
        </w:rPr>
      </w:pPr>
    </w:p>
    <w:p>
      <w:pPr>
        <w:jc w:val="center"/>
        <w:rPr>
          <w:rFonts w:ascii="Times New Roman" w:hAnsi="Times New Roman"/>
          <w:sz w:val="24"/>
          <w:szCs w:val="24"/>
        </w:rPr>
      </w:pPr>
      <w:r>
        <w:rPr>
          <w:rFonts w:ascii="Times New Roman" w:hAnsi="Times New Roman"/>
          <w:b/>
          <w:sz w:val="24"/>
          <w:szCs w:val="24"/>
        </w:rPr>
        <w:t>Table 1</w:t>
      </w:r>
      <w:r>
        <w:rPr>
          <w:rFonts w:ascii="Times New Roman" w:hAnsi="Times New Roman"/>
          <w:sz w:val="24"/>
          <w:szCs w:val="24"/>
        </w:rPr>
        <w:t xml:space="preserve"> The elevations, latitudes, longitudes, and climatic factors of the nine sampling sites in this study.</w:t>
      </w:r>
    </w:p>
    <w:tbl>
      <w:tblPr>
        <w:tblStyle w:val="3"/>
        <w:tblW w:w="5000" w:type="pct"/>
        <w:tblInd w:w="0" w:type="dxa"/>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40"/>
        <w:gridCol w:w="1135"/>
        <w:gridCol w:w="1024"/>
        <w:gridCol w:w="1170"/>
        <w:gridCol w:w="994"/>
        <w:gridCol w:w="1155"/>
        <w:gridCol w:w="1045"/>
        <w:gridCol w:w="1057"/>
      </w:tblGrid>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654" w:type="pct"/>
            <w:tcBorders>
              <w:top w:val="single" w:color="000000" w:sz="8" w:space="0"/>
              <w:left w:val="nil"/>
              <w:bottom w:val="single" w:color="000000" w:sz="8" w:space="0"/>
              <w:right w:val="nil"/>
            </w:tcBorders>
            <w:noWrap/>
            <w:vAlign w:val="top"/>
          </w:tcPr>
          <w:p>
            <w:pPr>
              <w:widowControl/>
              <w:jc w:val="left"/>
              <w:rPr>
                <w:rFonts w:ascii="Times New Roman" w:hAnsi="Times New Roman"/>
                <w:b/>
                <w:kern w:val="0"/>
                <w:sz w:val="20"/>
                <w:szCs w:val="20"/>
              </w:rPr>
            </w:pPr>
            <w:r>
              <w:rPr>
                <w:rFonts w:ascii="Times New Roman" w:hAnsi="Times New Roman"/>
                <w:bCs/>
                <w:kern w:val="0"/>
                <w:sz w:val="20"/>
                <w:szCs w:val="20"/>
              </w:rPr>
              <w:t xml:space="preserve">Sampling </w:t>
            </w:r>
          </w:p>
          <w:p>
            <w:pPr>
              <w:widowControl/>
              <w:jc w:val="left"/>
              <w:rPr>
                <w:rFonts w:ascii="Times New Roman" w:hAnsi="Times New Roman"/>
                <w:b/>
                <w:kern w:val="0"/>
                <w:sz w:val="20"/>
                <w:szCs w:val="20"/>
              </w:rPr>
            </w:pPr>
            <w:r>
              <w:rPr>
                <w:rFonts w:ascii="Times New Roman" w:hAnsi="Times New Roman"/>
                <w:bCs/>
                <w:kern w:val="0"/>
                <w:sz w:val="20"/>
                <w:szCs w:val="20"/>
              </w:rPr>
              <w:t>sites</w:t>
            </w:r>
          </w:p>
        </w:tc>
        <w:tc>
          <w:tcPr>
            <w:tcW w:w="651" w:type="pct"/>
            <w:tcBorders>
              <w:top w:val="single" w:color="000000" w:sz="8" w:space="0"/>
              <w:bottom w:val="single" w:color="000000" w:sz="8" w:space="0"/>
              <w:right w:val="nil"/>
            </w:tcBorders>
            <w:noWrap/>
            <w:vAlign w:val="top"/>
          </w:tcPr>
          <w:p>
            <w:pPr>
              <w:widowControl/>
              <w:jc w:val="left"/>
              <w:rPr>
                <w:rFonts w:ascii="Times New Roman" w:hAnsi="Times New Roman"/>
                <w:b/>
                <w:kern w:val="0"/>
                <w:sz w:val="20"/>
                <w:szCs w:val="20"/>
              </w:rPr>
            </w:pPr>
            <w:r>
              <w:rPr>
                <w:rFonts w:ascii="Times New Roman" w:hAnsi="Times New Roman"/>
                <w:bCs/>
                <w:kern w:val="0"/>
                <w:sz w:val="20"/>
                <w:szCs w:val="20"/>
              </w:rPr>
              <w:t>Elevation</w:t>
            </w:r>
          </w:p>
          <w:p>
            <w:pPr>
              <w:widowControl/>
              <w:jc w:val="left"/>
              <w:rPr>
                <w:rFonts w:ascii="Times New Roman" w:hAnsi="Times New Roman"/>
                <w:b/>
                <w:kern w:val="0"/>
                <w:sz w:val="20"/>
                <w:szCs w:val="20"/>
              </w:rPr>
            </w:pPr>
            <w:r>
              <w:rPr>
                <w:rFonts w:ascii="Times New Roman" w:hAnsi="Times New Roman"/>
                <w:bCs/>
                <w:kern w:val="0"/>
                <w:sz w:val="20"/>
                <w:szCs w:val="20"/>
              </w:rPr>
              <w:t>(m)</w:t>
            </w:r>
          </w:p>
        </w:tc>
        <w:tc>
          <w:tcPr>
            <w:tcW w:w="587" w:type="pct"/>
            <w:tcBorders>
              <w:top w:val="single" w:color="000000" w:sz="8" w:space="0"/>
              <w:bottom w:val="single" w:color="000000" w:sz="8" w:space="0"/>
              <w:right w:val="nil"/>
            </w:tcBorders>
            <w:noWrap/>
            <w:vAlign w:val="top"/>
          </w:tcPr>
          <w:p>
            <w:pPr>
              <w:widowControl/>
              <w:ind w:right="-99" w:rightChars="-47"/>
              <w:jc w:val="left"/>
              <w:rPr>
                <w:rFonts w:ascii="Times New Roman" w:hAnsi="Times New Roman"/>
                <w:b/>
                <w:kern w:val="0"/>
                <w:sz w:val="20"/>
                <w:szCs w:val="20"/>
              </w:rPr>
            </w:pPr>
            <w:r>
              <w:rPr>
                <w:rFonts w:ascii="Times New Roman" w:hAnsi="Times New Roman"/>
                <w:bCs/>
                <w:kern w:val="0"/>
                <w:sz w:val="20"/>
                <w:szCs w:val="20"/>
              </w:rPr>
              <w:t>Latitude</w:t>
            </w:r>
          </w:p>
          <w:p>
            <w:pPr>
              <w:widowControl/>
              <w:ind w:right="-99" w:rightChars="-47"/>
              <w:jc w:val="left"/>
              <w:rPr>
                <w:rFonts w:ascii="Times New Roman" w:hAnsi="Times New Roman"/>
                <w:b/>
                <w:kern w:val="0"/>
                <w:sz w:val="20"/>
                <w:szCs w:val="20"/>
              </w:rPr>
            </w:pPr>
            <w:r>
              <w:rPr>
                <w:rFonts w:ascii="Times New Roman" w:hAnsi="Times New Roman"/>
                <w:bCs/>
                <w:kern w:val="0"/>
                <w:sz w:val="20"/>
                <w:szCs w:val="20"/>
              </w:rPr>
              <w:t>(º)</w:t>
            </w:r>
          </w:p>
        </w:tc>
        <w:tc>
          <w:tcPr>
            <w:tcW w:w="671" w:type="pct"/>
            <w:tcBorders>
              <w:top w:val="single" w:color="000000" w:sz="8" w:space="0"/>
              <w:bottom w:val="single" w:color="000000" w:sz="8" w:space="0"/>
              <w:right w:val="nil"/>
            </w:tcBorders>
            <w:noWrap/>
            <w:vAlign w:val="top"/>
          </w:tcPr>
          <w:p>
            <w:pPr>
              <w:widowControl/>
              <w:ind w:right="-29" w:rightChars="-14"/>
              <w:jc w:val="left"/>
              <w:rPr>
                <w:rFonts w:ascii="Times New Roman" w:hAnsi="Times New Roman"/>
                <w:b/>
                <w:kern w:val="0"/>
                <w:sz w:val="20"/>
                <w:szCs w:val="20"/>
              </w:rPr>
            </w:pPr>
            <w:r>
              <w:rPr>
                <w:rFonts w:ascii="Times New Roman" w:hAnsi="Times New Roman"/>
                <w:bCs/>
                <w:kern w:val="0"/>
                <w:sz w:val="20"/>
                <w:szCs w:val="20"/>
              </w:rPr>
              <w:t>Longitude</w:t>
            </w:r>
          </w:p>
          <w:p>
            <w:pPr>
              <w:widowControl/>
              <w:ind w:right="-29" w:rightChars="-14"/>
              <w:jc w:val="left"/>
              <w:rPr>
                <w:rFonts w:ascii="Times New Roman" w:hAnsi="Times New Roman"/>
                <w:b/>
                <w:kern w:val="0"/>
                <w:sz w:val="20"/>
                <w:szCs w:val="20"/>
              </w:rPr>
            </w:pPr>
            <w:r>
              <w:rPr>
                <w:rFonts w:ascii="Times New Roman" w:hAnsi="Times New Roman"/>
                <w:bCs/>
                <w:kern w:val="0"/>
                <w:sz w:val="20"/>
                <w:szCs w:val="20"/>
              </w:rPr>
              <w:t>(º)</w:t>
            </w:r>
          </w:p>
        </w:tc>
        <w:tc>
          <w:tcPr>
            <w:tcW w:w="570" w:type="pct"/>
            <w:tcBorders>
              <w:top w:val="single" w:color="000000" w:sz="8" w:space="0"/>
              <w:bottom w:val="single" w:color="000000" w:sz="8" w:space="0"/>
              <w:right w:val="nil"/>
            </w:tcBorders>
            <w:noWrap w:val="0"/>
            <w:vAlign w:val="top"/>
          </w:tcPr>
          <w:p>
            <w:pPr>
              <w:widowControl/>
              <w:ind w:right="-71" w:rightChars="-34"/>
              <w:jc w:val="left"/>
              <w:rPr>
                <w:rFonts w:ascii="Times New Roman" w:hAnsi="Times New Roman"/>
                <w:b/>
                <w:kern w:val="0"/>
                <w:sz w:val="20"/>
                <w:szCs w:val="20"/>
              </w:rPr>
            </w:pPr>
            <w:r>
              <w:rPr>
                <w:rFonts w:ascii="Times New Roman" w:hAnsi="Times New Roman"/>
                <w:bCs/>
                <w:kern w:val="0"/>
                <w:sz w:val="20"/>
                <w:szCs w:val="20"/>
              </w:rPr>
              <w:t>MAT</w:t>
            </w:r>
          </w:p>
          <w:p>
            <w:pPr>
              <w:widowControl/>
              <w:ind w:right="-71" w:rightChars="-34"/>
              <w:jc w:val="left"/>
              <w:rPr>
                <w:rFonts w:ascii="Times New Roman" w:hAnsi="Times New Roman"/>
                <w:b/>
                <w:kern w:val="0"/>
                <w:sz w:val="20"/>
                <w:szCs w:val="20"/>
              </w:rPr>
            </w:pPr>
            <w:r>
              <w:rPr>
                <w:rFonts w:ascii="Times New Roman" w:hAnsi="Times New Roman"/>
                <w:bCs/>
                <w:kern w:val="0"/>
                <w:sz w:val="20"/>
                <w:szCs w:val="20"/>
              </w:rPr>
              <w:t>(ºC)</w:t>
            </w:r>
          </w:p>
        </w:tc>
        <w:tc>
          <w:tcPr>
            <w:tcW w:w="662" w:type="pct"/>
            <w:tcBorders>
              <w:top w:val="single" w:color="000000" w:sz="8" w:space="0"/>
              <w:bottom w:val="single" w:color="000000" w:sz="8" w:space="0"/>
              <w:right w:val="nil"/>
            </w:tcBorders>
            <w:noWrap w:val="0"/>
            <w:vAlign w:val="top"/>
          </w:tcPr>
          <w:p>
            <w:pPr>
              <w:widowControl/>
              <w:ind w:right="-113" w:rightChars="-54"/>
              <w:jc w:val="left"/>
              <w:rPr>
                <w:rFonts w:ascii="Times New Roman" w:hAnsi="Times New Roman"/>
                <w:b/>
                <w:kern w:val="0"/>
                <w:sz w:val="20"/>
                <w:szCs w:val="20"/>
              </w:rPr>
            </w:pPr>
            <w:r>
              <w:rPr>
                <w:rFonts w:ascii="Times New Roman" w:hAnsi="Times New Roman"/>
                <w:bCs/>
                <w:kern w:val="0"/>
                <w:sz w:val="20"/>
                <w:szCs w:val="20"/>
              </w:rPr>
              <w:t xml:space="preserve">MAP </w:t>
            </w:r>
          </w:p>
          <w:p>
            <w:pPr>
              <w:widowControl/>
              <w:ind w:right="-113" w:rightChars="-54"/>
              <w:jc w:val="left"/>
              <w:rPr>
                <w:rFonts w:ascii="Times New Roman" w:hAnsi="Times New Roman"/>
                <w:b/>
                <w:kern w:val="0"/>
                <w:sz w:val="20"/>
                <w:szCs w:val="20"/>
              </w:rPr>
            </w:pPr>
            <w:r>
              <w:rPr>
                <w:rFonts w:ascii="Times New Roman" w:hAnsi="Times New Roman"/>
                <w:bCs/>
                <w:kern w:val="0"/>
                <w:sz w:val="20"/>
                <w:szCs w:val="20"/>
              </w:rPr>
              <w:t>(cm)</w:t>
            </w:r>
          </w:p>
        </w:tc>
        <w:tc>
          <w:tcPr>
            <w:tcW w:w="599" w:type="pct"/>
            <w:tcBorders>
              <w:top w:val="single" w:color="000000" w:sz="8" w:space="0"/>
              <w:bottom w:val="single" w:color="000000" w:sz="8" w:space="0"/>
              <w:right w:val="nil"/>
            </w:tcBorders>
            <w:noWrap w:val="0"/>
            <w:vAlign w:val="top"/>
          </w:tcPr>
          <w:p>
            <w:pPr>
              <w:widowControl/>
              <w:jc w:val="left"/>
              <w:rPr>
                <w:rFonts w:ascii="Times New Roman" w:hAnsi="Times New Roman"/>
                <w:b/>
                <w:kern w:val="0"/>
                <w:sz w:val="20"/>
                <w:szCs w:val="20"/>
              </w:rPr>
            </w:pPr>
            <w:r>
              <w:rPr>
                <w:rFonts w:ascii="Times New Roman" w:hAnsi="Times New Roman"/>
                <w:bCs/>
                <w:kern w:val="0"/>
                <w:sz w:val="20"/>
                <w:szCs w:val="20"/>
              </w:rPr>
              <w:t xml:space="preserve">RH </w:t>
            </w:r>
          </w:p>
          <w:p>
            <w:pPr>
              <w:widowControl/>
              <w:jc w:val="left"/>
              <w:rPr>
                <w:rFonts w:ascii="Times New Roman" w:hAnsi="Times New Roman"/>
                <w:b/>
                <w:kern w:val="0"/>
                <w:sz w:val="20"/>
                <w:szCs w:val="20"/>
              </w:rPr>
            </w:pPr>
            <w:r>
              <w:rPr>
                <w:rFonts w:ascii="Times New Roman" w:hAnsi="Times New Roman"/>
                <w:bCs/>
                <w:kern w:val="0"/>
                <w:sz w:val="20"/>
                <w:szCs w:val="20"/>
              </w:rPr>
              <w:t>(%)</w:t>
            </w:r>
          </w:p>
        </w:tc>
        <w:tc>
          <w:tcPr>
            <w:tcW w:w="606" w:type="pct"/>
            <w:tcBorders>
              <w:top w:val="single" w:color="000000" w:sz="8" w:space="0"/>
              <w:bottom w:val="single" w:color="000000" w:sz="8" w:space="0"/>
              <w:right w:val="nil"/>
            </w:tcBorders>
            <w:noWrap w:val="0"/>
            <w:vAlign w:val="top"/>
          </w:tcPr>
          <w:p>
            <w:pPr>
              <w:widowControl/>
              <w:jc w:val="left"/>
              <w:rPr>
                <w:rFonts w:ascii="Times New Roman" w:hAnsi="Times New Roman"/>
                <w:b/>
                <w:kern w:val="0"/>
                <w:sz w:val="20"/>
                <w:szCs w:val="20"/>
              </w:rPr>
            </w:pPr>
            <w:r>
              <w:rPr>
                <w:rFonts w:ascii="Times New Roman" w:hAnsi="Times New Roman"/>
                <w:bCs/>
                <w:kern w:val="0"/>
                <w:sz w:val="20"/>
                <w:szCs w:val="20"/>
              </w:rPr>
              <w:t xml:space="preserve">UV-B </w:t>
            </w:r>
          </w:p>
          <w:p>
            <w:pPr>
              <w:widowControl/>
              <w:jc w:val="left"/>
              <w:rPr>
                <w:rFonts w:ascii="Times New Roman" w:hAnsi="Times New Roman"/>
                <w:b/>
                <w:kern w:val="0"/>
                <w:sz w:val="20"/>
                <w:szCs w:val="20"/>
              </w:rPr>
            </w:pPr>
            <w:r>
              <w:rPr>
                <w:rFonts w:ascii="Times New Roman" w:hAnsi="Times New Roman"/>
                <w:bCs/>
                <w:kern w:val="0"/>
                <w:sz w:val="20"/>
                <w:szCs w:val="20"/>
              </w:rPr>
              <w:t>(W m</w:t>
            </w:r>
            <w:r>
              <w:rPr>
                <w:rFonts w:ascii="Times New Roman" w:hAnsi="Times New Roman"/>
                <w:bCs/>
                <w:kern w:val="0"/>
                <w:sz w:val="20"/>
                <w:szCs w:val="20"/>
                <w:vertAlign w:val="superscript"/>
              </w:rPr>
              <w:t>-2</w:t>
            </w:r>
            <w:r>
              <w:rPr>
                <w:rFonts w:ascii="Times New Roman" w:hAnsi="Times New Roman"/>
                <w:bCs/>
                <w:kern w:val="0"/>
                <w:sz w:val="20"/>
                <w:szCs w:val="20"/>
              </w:rPr>
              <w:t>)</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654" w:type="pct"/>
            <w:tcBorders>
              <w:left w:val="nil"/>
              <w:right w:val="nil"/>
            </w:tcBorders>
            <w:noWrap/>
            <w:vAlign w:val="center"/>
          </w:tcPr>
          <w:p>
            <w:pPr>
              <w:widowControl/>
              <w:rPr>
                <w:rFonts w:ascii="Times New Roman" w:hAnsi="Times New Roman"/>
                <w:b/>
                <w:kern w:val="0"/>
                <w:sz w:val="20"/>
                <w:szCs w:val="20"/>
              </w:rPr>
            </w:pPr>
            <w:r>
              <w:rPr>
                <w:rFonts w:ascii="Times New Roman" w:hAnsi="Times New Roman"/>
                <w:bCs/>
                <w:kern w:val="0"/>
                <w:sz w:val="20"/>
                <w:szCs w:val="20"/>
              </w:rPr>
              <w:t>1</w:t>
            </w:r>
          </w:p>
        </w:tc>
        <w:tc>
          <w:tcPr>
            <w:tcW w:w="651" w:type="pct"/>
            <w:tcBorders>
              <w:right w:val="nil"/>
            </w:tcBorders>
            <w:noWrap/>
            <w:vAlign w:val="center"/>
          </w:tcPr>
          <w:p>
            <w:pPr>
              <w:widowControl/>
              <w:rPr>
                <w:rFonts w:ascii="Times New Roman" w:hAnsi="Times New Roman"/>
                <w:kern w:val="0"/>
                <w:sz w:val="20"/>
                <w:szCs w:val="20"/>
              </w:rPr>
            </w:pPr>
            <w:r>
              <w:rPr>
                <w:rFonts w:ascii="Times New Roman" w:hAnsi="Times New Roman"/>
                <w:kern w:val="0"/>
                <w:sz w:val="20"/>
                <w:szCs w:val="20"/>
              </w:rPr>
              <w:t xml:space="preserve">2287 </w:t>
            </w:r>
          </w:p>
        </w:tc>
        <w:tc>
          <w:tcPr>
            <w:tcW w:w="587" w:type="pct"/>
            <w:tcBorders>
              <w:right w:val="nil"/>
            </w:tcBorders>
            <w:noWrap/>
            <w:vAlign w:val="center"/>
          </w:tcPr>
          <w:p>
            <w:pPr>
              <w:widowControl/>
              <w:rPr>
                <w:rFonts w:ascii="Times New Roman" w:hAnsi="Times New Roman"/>
                <w:kern w:val="0"/>
                <w:sz w:val="20"/>
                <w:szCs w:val="20"/>
              </w:rPr>
            </w:pPr>
            <w:r>
              <w:rPr>
                <w:rFonts w:ascii="Times New Roman" w:hAnsi="Times New Roman"/>
                <w:kern w:val="0"/>
                <w:sz w:val="20"/>
                <w:szCs w:val="20"/>
              </w:rPr>
              <w:t xml:space="preserve">28.980 </w:t>
            </w:r>
          </w:p>
        </w:tc>
        <w:tc>
          <w:tcPr>
            <w:tcW w:w="671" w:type="pct"/>
            <w:tcBorders>
              <w:right w:val="nil"/>
            </w:tcBorders>
            <w:noWrap/>
            <w:vAlign w:val="center"/>
          </w:tcPr>
          <w:p>
            <w:pPr>
              <w:widowControl/>
              <w:rPr>
                <w:rFonts w:ascii="Times New Roman" w:hAnsi="Times New Roman"/>
                <w:kern w:val="0"/>
                <w:sz w:val="20"/>
                <w:szCs w:val="20"/>
              </w:rPr>
            </w:pPr>
            <w:r>
              <w:rPr>
                <w:rFonts w:ascii="Times New Roman" w:hAnsi="Times New Roman"/>
                <w:kern w:val="0"/>
                <w:sz w:val="20"/>
                <w:szCs w:val="20"/>
              </w:rPr>
              <w:t xml:space="preserve">98.627 </w:t>
            </w:r>
          </w:p>
        </w:tc>
        <w:tc>
          <w:tcPr>
            <w:tcW w:w="570" w:type="pct"/>
            <w:tcBorders>
              <w:right w:val="nil"/>
            </w:tcBorders>
            <w:noWrap w:val="0"/>
            <w:vAlign w:val="center"/>
          </w:tcPr>
          <w:p>
            <w:pPr>
              <w:rPr>
                <w:rFonts w:ascii="Times New Roman" w:hAnsi="Times New Roman"/>
                <w:sz w:val="20"/>
                <w:szCs w:val="20"/>
              </w:rPr>
            </w:pPr>
            <w:r>
              <w:rPr>
                <w:rFonts w:ascii="Times New Roman" w:hAnsi="Times New Roman"/>
                <w:sz w:val="20"/>
                <w:szCs w:val="20"/>
              </w:rPr>
              <w:t xml:space="preserve">5.337 </w:t>
            </w:r>
          </w:p>
        </w:tc>
        <w:tc>
          <w:tcPr>
            <w:tcW w:w="662" w:type="pct"/>
            <w:tcBorders>
              <w:right w:val="nil"/>
            </w:tcBorders>
            <w:noWrap w:val="0"/>
            <w:vAlign w:val="center"/>
          </w:tcPr>
          <w:p>
            <w:pPr>
              <w:rPr>
                <w:rFonts w:ascii="Times New Roman" w:hAnsi="Times New Roman"/>
                <w:sz w:val="20"/>
                <w:szCs w:val="20"/>
              </w:rPr>
            </w:pPr>
            <w:r>
              <w:rPr>
                <w:rFonts w:ascii="Times New Roman" w:hAnsi="Times New Roman"/>
                <w:sz w:val="20"/>
                <w:szCs w:val="20"/>
              </w:rPr>
              <w:t xml:space="preserve">64.904 </w:t>
            </w:r>
          </w:p>
        </w:tc>
        <w:tc>
          <w:tcPr>
            <w:tcW w:w="599" w:type="pct"/>
            <w:tcBorders>
              <w:right w:val="nil"/>
            </w:tcBorders>
            <w:noWrap w:val="0"/>
            <w:vAlign w:val="center"/>
          </w:tcPr>
          <w:p>
            <w:pPr>
              <w:rPr>
                <w:rFonts w:ascii="Times New Roman" w:hAnsi="Times New Roman"/>
                <w:sz w:val="20"/>
                <w:szCs w:val="20"/>
              </w:rPr>
            </w:pPr>
            <w:r>
              <w:rPr>
                <w:rFonts w:ascii="Times New Roman" w:hAnsi="Times New Roman"/>
                <w:sz w:val="20"/>
                <w:szCs w:val="20"/>
              </w:rPr>
              <w:t xml:space="preserve">53.313 </w:t>
            </w:r>
          </w:p>
        </w:tc>
        <w:tc>
          <w:tcPr>
            <w:tcW w:w="606" w:type="pct"/>
            <w:tcBorders>
              <w:right w:val="nil"/>
            </w:tcBorders>
            <w:noWrap w:val="0"/>
            <w:vAlign w:val="center"/>
          </w:tcPr>
          <w:p>
            <w:pPr>
              <w:rPr>
                <w:rFonts w:ascii="Times New Roman" w:hAnsi="Times New Roman"/>
                <w:sz w:val="20"/>
                <w:szCs w:val="20"/>
              </w:rPr>
            </w:pPr>
            <w:r>
              <w:rPr>
                <w:rFonts w:ascii="Times New Roman" w:hAnsi="Times New Roman"/>
                <w:sz w:val="20"/>
                <w:szCs w:val="20"/>
              </w:rPr>
              <w:t xml:space="preserve">1.733 </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654" w:type="pct"/>
            <w:noWrap/>
            <w:vAlign w:val="center"/>
          </w:tcPr>
          <w:p>
            <w:pPr>
              <w:widowControl/>
              <w:rPr>
                <w:rFonts w:ascii="Times New Roman" w:hAnsi="Times New Roman"/>
                <w:b/>
                <w:kern w:val="0"/>
                <w:sz w:val="20"/>
                <w:szCs w:val="20"/>
              </w:rPr>
            </w:pPr>
            <w:r>
              <w:rPr>
                <w:rFonts w:ascii="Times New Roman" w:hAnsi="Times New Roman"/>
                <w:bCs/>
                <w:kern w:val="0"/>
                <w:sz w:val="20"/>
                <w:szCs w:val="20"/>
              </w:rPr>
              <w:t>2</w:t>
            </w:r>
          </w:p>
        </w:tc>
        <w:tc>
          <w:tcPr>
            <w:tcW w:w="651" w:type="pct"/>
            <w:noWrap/>
            <w:vAlign w:val="center"/>
          </w:tcPr>
          <w:p>
            <w:pPr>
              <w:widowControl/>
              <w:rPr>
                <w:rFonts w:ascii="Times New Roman" w:hAnsi="Times New Roman"/>
                <w:kern w:val="0"/>
                <w:sz w:val="20"/>
                <w:szCs w:val="20"/>
              </w:rPr>
            </w:pPr>
            <w:r>
              <w:rPr>
                <w:rFonts w:ascii="Times New Roman" w:hAnsi="Times New Roman"/>
                <w:kern w:val="0"/>
                <w:sz w:val="20"/>
                <w:szCs w:val="20"/>
              </w:rPr>
              <w:t xml:space="preserve">2390 </w:t>
            </w:r>
          </w:p>
        </w:tc>
        <w:tc>
          <w:tcPr>
            <w:tcW w:w="587" w:type="pct"/>
            <w:noWrap/>
            <w:vAlign w:val="center"/>
          </w:tcPr>
          <w:p>
            <w:pPr>
              <w:widowControl/>
              <w:rPr>
                <w:rFonts w:ascii="Times New Roman" w:hAnsi="Times New Roman"/>
                <w:kern w:val="0"/>
                <w:sz w:val="20"/>
                <w:szCs w:val="20"/>
              </w:rPr>
            </w:pPr>
            <w:r>
              <w:rPr>
                <w:rFonts w:ascii="Times New Roman" w:hAnsi="Times New Roman"/>
                <w:kern w:val="0"/>
                <w:sz w:val="20"/>
                <w:szCs w:val="20"/>
              </w:rPr>
              <w:t xml:space="preserve">28.534 </w:t>
            </w:r>
          </w:p>
        </w:tc>
        <w:tc>
          <w:tcPr>
            <w:tcW w:w="671" w:type="pct"/>
            <w:noWrap/>
            <w:vAlign w:val="center"/>
          </w:tcPr>
          <w:p>
            <w:pPr>
              <w:widowControl/>
              <w:rPr>
                <w:rFonts w:ascii="Times New Roman" w:hAnsi="Times New Roman"/>
                <w:kern w:val="0"/>
                <w:sz w:val="20"/>
                <w:szCs w:val="20"/>
              </w:rPr>
            </w:pPr>
            <w:r>
              <w:rPr>
                <w:rFonts w:ascii="Times New Roman" w:hAnsi="Times New Roman"/>
                <w:kern w:val="0"/>
                <w:sz w:val="20"/>
                <w:szCs w:val="20"/>
              </w:rPr>
              <w:t xml:space="preserve">98.800 </w:t>
            </w:r>
          </w:p>
        </w:tc>
        <w:tc>
          <w:tcPr>
            <w:tcW w:w="570" w:type="pct"/>
            <w:noWrap w:val="0"/>
            <w:vAlign w:val="center"/>
          </w:tcPr>
          <w:p>
            <w:pPr>
              <w:rPr>
                <w:rFonts w:ascii="Times New Roman" w:hAnsi="Times New Roman"/>
                <w:sz w:val="20"/>
                <w:szCs w:val="20"/>
              </w:rPr>
            </w:pPr>
            <w:r>
              <w:rPr>
                <w:rFonts w:ascii="Times New Roman" w:hAnsi="Times New Roman"/>
                <w:sz w:val="20"/>
                <w:szCs w:val="20"/>
              </w:rPr>
              <w:t xml:space="preserve">5.445 </w:t>
            </w:r>
          </w:p>
        </w:tc>
        <w:tc>
          <w:tcPr>
            <w:tcW w:w="662" w:type="pct"/>
            <w:noWrap w:val="0"/>
            <w:vAlign w:val="center"/>
          </w:tcPr>
          <w:p>
            <w:pPr>
              <w:rPr>
                <w:rFonts w:ascii="Times New Roman" w:hAnsi="Times New Roman"/>
                <w:sz w:val="20"/>
                <w:szCs w:val="20"/>
              </w:rPr>
            </w:pPr>
            <w:r>
              <w:rPr>
                <w:rFonts w:ascii="Times New Roman" w:hAnsi="Times New Roman"/>
                <w:sz w:val="20"/>
                <w:szCs w:val="20"/>
              </w:rPr>
              <w:t xml:space="preserve">69.911 </w:t>
            </w:r>
          </w:p>
        </w:tc>
        <w:tc>
          <w:tcPr>
            <w:tcW w:w="599" w:type="pct"/>
            <w:noWrap w:val="0"/>
            <w:vAlign w:val="center"/>
          </w:tcPr>
          <w:p>
            <w:pPr>
              <w:rPr>
                <w:rFonts w:ascii="Times New Roman" w:hAnsi="Times New Roman"/>
                <w:sz w:val="20"/>
                <w:szCs w:val="20"/>
              </w:rPr>
            </w:pPr>
            <w:r>
              <w:rPr>
                <w:rFonts w:ascii="Times New Roman" w:hAnsi="Times New Roman"/>
                <w:sz w:val="20"/>
                <w:szCs w:val="20"/>
              </w:rPr>
              <w:t xml:space="preserve">55.026 </w:t>
            </w:r>
          </w:p>
        </w:tc>
        <w:tc>
          <w:tcPr>
            <w:tcW w:w="606" w:type="pct"/>
            <w:noWrap w:val="0"/>
            <w:vAlign w:val="center"/>
          </w:tcPr>
          <w:p>
            <w:pPr>
              <w:rPr>
                <w:rFonts w:ascii="Times New Roman" w:hAnsi="Times New Roman"/>
                <w:sz w:val="20"/>
                <w:szCs w:val="20"/>
              </w:rPr>
            </w:pPr>
            <w:r>
              <w:rPr>
                <w:rFonts w:ascii="Times New Roman" w:hAnsi="Times New Roman"/>
                <w:sz w:val="20"/>
                <w:szCs w:val="20"/>
              </w:rPr>
              <w:t xml:space="preserve">1.757 </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654" w:type="pct"/>
            <w:tcBorders>
              <w:left w:val="nil"/>
              <w:right w:val="nil"/>
            </w:tcBorders>
            <w:noWrap/>
            <w:vAlign w:val="center"/>
          </w:tcPr>
          <w:p>
            <w:pPr>
              <w:widowControl/>
              <w:rPr>
                <w:rFonts w:ascii="Times New Roman" w:hAnsi="Times New Roman"/>
                <w:b/>
                <w:kern w:val="0"/>
                <w:sz w:val="20"/>
                <w:szCs w:val="20"/>
              </w:rPr>
            </w:pPr>
            <w:r>
              <w:rPr>
                <w:rFonts w:ascii="Times New Roman" w:hAnsi="Times New Roman"/>
                <w:bCs/>
                <w:kern w:val="0"/>
                <w:sz w:val="20"/>
                <w:szCs w:val="20"/>
              </w:rPr>
              <w:t>3</w:t>
            </w:r>
          </w:p>
        </w:tc>
        <w:tc>
          <w:tcPr>
            <w:tcW w:w="651" w:type="pct"/>
            <w:tcBorders>
              <w:right w:val="nil"/>
            </w:tcBorders>
            <w:noWrap/>
            <w:vAlign w:val="center"/>
          </w:tcPr>
          <w:p>
            <w:pPr>
              <w:widowControl/>
              <w:rPr>
                <w:rFonts w:ascii="Times New Roman" w:hAnsi="Times New Roman"/>
                <w:kern w:val="0"/>
                <w:sz w:val="20"/>
                <w:szCs w:val="20"/>
              </w:rPr>
            </w:pPr>
            <w:r>
              <w:rPr>
                <w:rFonts w:ascii="Times New Roman" w:hAnsi="Times New Roman"/>
                <w:kern w:val="0"/>
                <w:sz w:val="20"/>
                <w:szCs w:val="20"/>
              </w:rPr>
              <w:t xml:space="preserve">2542 </w:t>
            </w:r>
          </w:p>
        </w:tc>
        <w:tc>
          <w:tcPr>
            <w:tcW w:w="587" w:type="pct"/>
            <w:tcBorders>
              <w:right w:val="nil"/>
            </w:tcBorders>
            <w:noWrap/>
            <w:vAlign w:val="center"/>
          </w:tcPr>
          <w:p>
            <w:pPr>
              <w:widowControl/>
              <w:rPr>
                <w:rFonts w:ascii="Times New Roman" w:hAnsi="Times New Roman"/>
                <w:kern w:val="0"/>
                <w:sz w:val="20"/>
                <w:szCs w:val="20"/>
              </w:rPr>
            </w:pPr>
            <w:r>
              <w:rPr>
                <w:rFonts w:ascii="Times New Roman" w:hAnsi="Times New Roman"/>
                <w:kern w:val="0"/>
                <w:sz w:val="20"/>
                <w:szCs w:val="20"/>
              </w:rPr>
              <w:t xml:space="preserve">28.514 </w:t>
            </w:r>
          </w:p>
        </w:tc>
        <w:tc>
          <w:tcPr>
            <w:tcW w:w="671" w:type="pct"/>
            <w:tcBorders>
              <w:right w:val="nil"/>
            </w:tcBorders>
            <w:noWrap/>
            <w:vAlign w:val="center"/>
          </w:tcPr>
          <w:p>
            <w:pPr>
              <w:widowControl/>
              <w:rPr>
                <w:rFonts w:ascii="Times New Roman" w:hAnsi="Times New Roman"/>
                <w:kern w:val="0"/>
                <w:sz w:val="20"/>
                <w:szCs w:val="20"/>
              </w:rPr>
            </w:pPr>
            <w:r>
              <w:rPr>
                <w:rFonts w:ascii="Times New Roman" w:hAnsi="Times New Roman"/>
                <w:kern w:val="0"/>
                <w:sz w:val="20"/>
                <w:szCs w:val="20"/>
              </w:rPr>
              <w:t xml:space="preserve">98.812 </w:t>
            </w:r>
          </w:p>
        </w:tc>
        <w:tc>
          <w:tcPr>
            <w:tcW w:w="570" w:type="pct"/>
            <w:tcBorders>
              <w:right w:val="nil"/>
            </w:tcBorders>
            <w:noWrap w:val="0"/>
            <w:vAlign w:val="center"/>
          </w:tcPr>
          <w:p>
            <w:pPr>
              <w:rPr>
                <w:rFonts w:ascii="Times New Roman" w:hAnsi="Times New Roman"/>
                <w:sz w:val="20"/>
                <w:szCs w:val="20"/>
              </w:rPr>
            </w:pPr>
            <w:r>
              <w:rPr>
                <w:rFonts w:ascii="Times New Roman" w:hAnsi="Times New Roman"/>
                <w:sz w:val="20"/>
                <w:szCs w:val="20"/>
              </w:rPr>
              <w:t xml:space="preserve">5.125 </w:t>
            </w:r>
          </w:p>
        </w:tc>
        <w:tc>
          <w:tcPr>
            <w:tcW w:w="662" w:type="pct"/>
            <w:tcBorders>
              <w:right w:val="nil"/>
            </w:tcBorders>
            <w:noWrap w:val="0"/>
            <w:vAlign w:val="center"/>
          </w:tcPr>
          <w:p>
            <w:pPr>
              <w:rPr>
                <w:rFonts w:ascii="Times New Roman" w:hAnsi="Times New Roman"/>
                <w:sz w:val="20"/>
                <w:szCs w:val="20"/>
              </w:rPr>
            </w:pPr>
            <w:r>
              <w:rPr>
                <w:rFonts w:ascii="Times New Roman" w:hAnsi="Times New Roman"/>
                <w:sz w:val="20"/>
                <w:szCs w:val="20"/>
              </w:rPr>
              <w:t xml:space="preserve">70.265 </w:t>
            </w:r>
          </w:p>
        </w:tc>
        <w:tc>
          <w:tcPr>
            <w:tcW w:w="599" w:type="pct"/>
            <w:tcBorders>
              <w:right w:val="nil"/>
            </w:tcBorders>
            <w:noWrap w:val="0"/>
            <w:vAlign w:val="center"/>
          </w:tcPr>
          <w:p>
            <w:pPr>
              <w:rPr>
                <w:rFonts w:ascii="Times New Roman" w:hAnsi="Times New Roman"/>
                <w:sz w:val="20"/>
                <w:szCs w:val="20"/>
              </w:rPr>
            </w:pPr>
            <w:r>
              <w:rPr>
                <w:rFonts w:ascii="Times New Roman" w:hAnsi="Times New Roman"/>
                <w:sz w:val="20"/>
                <w:szCs w:val="20"/>
              </w:rPr>
              <w:t xml:space="preserve">55.080 </w:t>
            </w:r>
          </w:p>
        </w:tc>
        <w:tc>
          <w:tcPr>
            <w:tcW w:w="606" w:type="pct"/>
            <w:tcBorders>
              <w:right w:val="nil"/>
            </w:tcBorders>
            <w:noWrap w:val="0"/>
            <w:vAlign w:val="center"/>
          </w:tcPr>
          <w:p>
            <w:pPr>
              <w:rPr>
                <w:rFonts w:ascii="Times New Roman" w:hAnsi="Times New Roman"/>
                <w:sz w:val="20"/>
                <w:szCs w:val="20"/>
              </w:rPr>
            </w:pPr>
            <w:r>
              <w:rPr>
                <w:rFonts w:ascii="Times New Roman" w:hAnsi="Times New Roman"/>
                <w:sz w:val="20"/>
                <w:szCs w:val="20"/>
              </w:rPr>
              <w:t xml:space="preserve">1.771 </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654" w:type="pct"/>
            <w:noWrap/>
            <w:vAlign w:val="center"/>
          </w:tcPr>
          <w:p>
            <w:pPr>
              <w:widowControl/>
              <w:rPr>
                <w:rFonts w:ascii="Times New Roman" w:hAnsi="Times New Roman"/>
                <w:b/>
                <w:kern w:val="0"/>
                <w:sz w:val="20"/>
                <w:szCs w:val="20"/>
              </w:rPr>
            </w:pPr>
            <w:r>
              <w:rPr>
                <w:rFonts w:ascii="Times New Roman" w:hAnsi="Times New Roman"/>
                <w:bCs/>
                <w:kern w:val="0"/>
                <w:sz w:val="20"/>
                <w:szCs w:val="20"/>
              </w:rPr>
              <w:t>4</w:t>
            </w:r>
          </w:p>
        </w:tc>
        <w:tc>
          <w:tcPr>
            <w:tcW w:w="651" w:type="pct"/>
            <w:noWrap/>
            <w:vAlign w:val="center"/>
          </w:tcPr>
          <w:p>
            <w:pPr>
              <w:widowControl/>
              <w:rPr>
                <w:rFonts w:ascii="Times New Roman" w:hAnsi="Times New Roman"/>
                <w:kern w:val="0"/>
                <w:sz w:val="20"/>
                <w:szCs w:val="20"/>
              </w:rPr>
            </w:pPr>
            <w:r>
              <w:rPr>
                <w:rFonts w:ascii="Times New Roman" w:hAnsi="Times New Roman"/>
                <w:kern w:val="0"/>
                <w:sz w:val="20"/>
                <w:szCs w:val="20"/>
              </w:rPr>
              <w:t xml:space="preserve">2720 </w:t>
            </w:r>
          </w:p>
        </w:tc>
        <w:tc>
          <w:tcPr>
            <w:tcW w:w="587" w:type="pct"/>
            <w:noWrap/>
            <w:vAlign w:val="center"/>
          </w:tcPr>
          <w:p>
            <w:pPr>
              <w:widowControl/>
              <w:rPr>
                <w:rFonts w:ascii="Times New Roman" w:hAnsi="Times New Roman"/>
                <w:kern w:val="0"/>
                <w:sz w:val="20"/>
                <w:szCs w:val="20"/>
              </w:rPr>
            </w:pPr>
            <w:r>
              <w:rPr>
                <w:rFonts w:ascii="Times New Roman" w:hAnsi="Times New Roman"/>
                <w:kern w:val="0"/>
                <w:sz w:val="20"/>
                <w:szCs w:val="20"/>
              </w:rPr>
              <w:t xml:space="preserve">29.121 </w:t>
            </w:r>
          </w:p>
        </w:tc>
        <w:tc>
          <w:tcPr>
            <w:tcW w:w="671" w:type="pct"/>
            <w:noWrap/>
            <w:vAlign w:val="center"/>
          </w:tcPr>
          <w:p>
            <w:pPr>
              <w:widowControl/>
              <w:rPr>
                <w:rFonts w:ascii="Times New Roman" w:hAnsi="Times New Roman"/>
                <w:kern w:val="0"/>
                <w:sz w:val="20"/>
                <w:szCs w:val="20"/>
              </w:rPr>
            </w:pPr>
            <w:r>
              <w:rPr>
                <w:rFonts w:ascii="Times New Roman" w:hAnsi="Times New Roman"/>
                <w:kern w:val="0"/>
                <w:sz w:val="20"/>
                <w:szCs w:val="20"/>
              </w:rPr>
              <w:t xml:space="preserve">98.638 </w:t>
            </w:r>
          </w:p>
        </w:tc>
        <w:tc>
          <w:tcPr>
            <w:tcW w:w="570" w:type="pct"/>
            <w:noWrap w:val="0"/>
            <w:vAlign w:val="center"/>
          </w:tcPr>
          <w:p>
            <w:pPr>
              <w:rPr>
                <w:rFonts w:ascii="Times New Roman" w:hAnsi="Times New Roman"/>
                <w:sz w:val="20"/>
                <w:szCs w:val="20"/>
              </w:rPr>
            </w:pPr>
            <w:r>
              <w:rPr>
                <w:rFonts w:ascii="Times New Roman" w:hAnsi="Times New Roman"/>
                <w:sz w:val="20"/>
                <w:szCs w:val="20"/>
              </w:rPr>
              <w:t xml:space="preserve">4.284 </w:t>
            </w:r>
          </w:p>
        </w:tc>
        <w:tc>
          <w:tcPr>
            <w:tcW w:w="662" w:type="pct"/>
            <w:noWrap w:val="0"/>
            <w:vAlign w:val="center"/>
          </w:tcPr>
          <w:p>
            <w:pPr>
              <w:rPr>
                <w:rFonts w:ascii="Times New Roman" w:hAnsi="Times New Roman"/>
                <w:sz w:val="20"/>
                <w:szCs w:val="20"/>
              </w:rPr>
            </w:pPr>
            <w:r>
              <w:rPr>
                <w:rFonts w:ascii="Times New Roman" w:hAnsi="Times New Roman"/>
                <w:sz w:val="20"/>
                <w:szCs w:val="20"/>
              </w:rPr>
              <w:t xml:space="preserve">64.365 </w:t>
            </w:r>
          </w:p>
        </w:tc>
        <w:tc>
          <w:tcPr>
            <w:tcW w:w="599" w:type="pct"/>
            <w:noWrap w:val="0"/>
            <w:vAlign w:val="center"/>
          </w:tcPr>
          <w:p>
            <w:pPr>
              <w:rPr>
                <w:rFonts w:ascii="Times New Roman" w:hAnsi="Times New Roman"/>
                <w:sz w:val="20"/>
                <w:szCs w:val="20"/>
              </w:rPr>
            </w:pPr>
            <w:r>
              <w:rPr>
                <w:rFonts w:ascii="Times New Roman" w:hAnsi="Times New Roman"/>
                <w:sz w:val="20"/>
                <w:szCs w:val="20"/>
              </w:rPr>
              <w:t xml:space="preserve">52.845 </w:t>
            </w:r>
          </w:p>
        </w:tc>
        <w:tc>
          <w:tcPr>
            <w:tcW w:w="606" w:type="pct"/>
            <w:noWrap w:val="0"/>
            <w:vAlign w:val="center"/>
          </w:tcPr>
          <w:p>
            <w:pPr>
              <w:rPr>
                <w:rFonts w:ascii="Times New Roman" w:hAnsi="Times New Roman"/>
                <w:sz w:val="20"/>
                <w:szCs w:val="20"/>
              </w:rPr>
            </w:pPr>
            <w:r>
              <w:rPr>
                <w:rFonts w:ascii="Times New Roman" w:hAnsi="Times New Roman"/>
                <w:sz w:val="20"/>
                <w:szCs w:val="20"/>
              </w:rPr>
              <w:t xml:space="preserve">1.766 </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654" w:type="pct"/>
            <w:tcBorders>
              <w:left w:val="nil"/>
              <w:right w:val="nil"/>
            </w:tcBorders>
            <w:noWrap/>
            <w:vAlign w:val="center"/>
          </w:tcPr>
          <w:p>
            <w:pPr>
              <w:widowControl/>
              <w:rPr>
                <w:rFonts w:ascii="Times New Roman" w:hAnsi="Times New Roman"/>
                <w:b/>
                <w:kern w:val="0"/>
                <w:sz w:val="20"/>
                <w:szCs w:val="20"/>
              </w:rPr>
            </w:pPr>
            <w:r>
              <w:rPr>
                <w:rFonts w:ascii="Times New Roman" w:hAnsi="Times New Roman"/>
                <w:bCs/>
                <w:kern w:val="0"/>
                <w:sz w:val="20"/>
                <w:szCs w:val="20"/>
              </w:rPr>
              <w:t>5</w:t>
            </w:r>
          </w:p>
        </w:tc>
        <w:tc>
          <w:tcPr>
            <w:tcW w:w="651" w:type="pct"/>
            <w:tcBorders>
              <w:right w:val="nil"/>
            </w:tcBorders>
            <w:noWrap/>
            <w:vAlign w:val="center"/>
          </w:tcPr>
          <w:p>
            <w:pPr>
              <w:widowControl/>
              <w:rPr>
                <w:rFonts w:ascii="Times New Roman" w:hAnsi="Times New Roman"/>
                <w:kern w:val="0"/>
                <w:sz w:val="20"/>
                <w:szCs w:val="20"/>
              </w:rPr>
            </w:pPr>
            <w:r>
              <w:rPr>
                <w:rFonts w:ascii="Times New Roman" w:hAnsi="Times New Roman"/>
                <w:kern w:val="0"/>
                <w:sz w:val="20"/>
                <w:szCs w:val="20"/>
              </w:rPr>
              <w:t xml:space="preserve">2797 </w:t>
            </w:r>
          </w:p>
        </w:tc>
        <w:tc>
          <w:tcPr>
            <w:tcW w:w="587" w:type="pct"/>
            <w:tcBorders>
              <w:right w:val="nil"/>
            </w:tcBorders>
            <w:noWrap/>
            <w:vAlign w:val="center"/>
          </w:tcPr>
          <w:p>
            <w:pPr>
              <w:widowControl/>
              <w:rPr>
                <w:rFonts w:ascii="Times New Roman" w:hAnsi="Times New Roman"/>
                <w:kern w:val="0"/>
                <w:sz w:val="20"/>
                <w:szCs w:val="20"/>
              </w:rPr>
            </w:pPr>
            <w:r>
              <w:rPr>
                <w:rFonts w:ascii="Times New Roman" w:hAnsi="Times New Roman"/>
                <w:kern w:val="0"/>
                <w:sz w:val="20"/>
                <w:szCs w:val="20"/>
              </w:rPr>
              <w:t xml:space="preserve">28.489 </w:t>
            </w:r>
          </w:p>
        </w:tc>
        <w:tc>
          <w:tcPr>
            <w:tcW w:w="671" w:type="pct"/>
            <w:tcBorders>
              <w:right w:val="nil"/>
            </w:tcBorders>
            <w:noWrap/>
            <w:vAlign w:val="center"/>
          </w:tcPr>
          <w:p>
            <w:pPr>
              <w:widowControl/>
              <w:rPr>
                <w:rFonts w:ascii="Times New Roman" w:hAnsi="Times New Roman"/>
                <w:kern w:val="0"/>
                <w:sz w:val="20"/>
                <w:szCs w:val="20"/>
              </w:rPr>
            </w:pPr>
            <w:r>
              <w:rPr>
                <w:rFonts w:ascii="Times New Roman" w:hAnsi="Times New Roman"/>
                <w:kern w:val="0"/>
                <w:sz w:val="20"/>
                <w:szCs w:val="20"/>
              </w:rPr>
              <w:t xml:space="preserve">98.823 </w:t>
            </w:r>
          </w:p>
        </w:tc>
        <w:tc>
          <w:tcPr>
            <w:tcW w:w="570" w:type="pct"/>
            <w:tcBorders>
              <w:right w:val="nil"/>
            </w:tcBorders>
            <w:noWrap w:val="0"/>
            <w:vAlign w:val="center"/>
          </w:tcPr>
          <w:p>
            <w:pPr>
              <w:rPr>
                <w:rFonts w:ascii="Times New Roman" w:hAnsi="Times New Roman"/>
                <w:sz w:val="20"/>
                <w:szCs w:val="20"/>
              </w:rPr>
            </w:pPr>
            <w:r>
              <w:rPr>
                <w:rFonts w:ascii="Times New Roman" w:hAnsi="Times New Roman"/>
                <w:sz w:val="20"/>
                <w:szCs w:val="20"/>
              </w:rPr>
              <w:t xml:space="preserve">4.239 </w:t>
            </w:r>
          </w:p>
        </w:tc>
        <w:tc>
          <w:tcPr>
            <w:tcW w:w="662" w:type="pct"/>
            <w:tcBorders>
              <w:right w:val="nil"/>
            </w:tcBorders>
            <w:noWrap w:val="0"/>
            <w:vAlign w:val="center"/>
          </w:tcPr>
          <w:p>
            <w:pPr>
              <w:rPr>
                <w:rFonts w:ascii="Times New Roman" w:hAnsi="Times New Roman"/>
                <w:sz w:val="20"/>
                <w:szCs w:val="20"/>
              </w:rPr>
            </w:pPr>
            <w:r>
              <w:rPr>
                <w:rFonts w:ascii="Times New Roman" w:hAnsi="Times New Roman"/>
                <w:sz w:val="20"/>
                <w:szCs w:val="20"/>
              </w:rPr>
              <w:t xml:space="preserve">70.669 </w:t>
            </w:r>
          </w:p>
        </w:tc>
        <w:tc>
          <w:tcPr>
            <w:tcW w:w="599" w:type="pct"/>
            <w:tcBorders>
              <w:right w:val="nil"/>
            </w:tcBorders>
            <w:noWrap w:val="0"/>
            <w:vAlign w:val="center"/>
          </w:tcPr>
          <w:p>
            <w:pPr>
              <w:rPr>
                <w:rFonts w:ascii="Times New Roman" w:hAnsi="Times New Roman"/>
                <w:sz w:val="20"/>
                <w:szCs w:val="20"/>
              </w:rPr>
            </w:pPr>
            <w:r>
              <w:rPr>
                <w:rFonts w:ascii="Times New Roman" w:hAnsi="Times New Roman"/>
                <w:sz w:val="20"/>
                <w:szCs w:val="20"/>
              </w:rPr>
              <w:t xml:space="preserve">54.996 </w:t>
            </w:r>
          </w:p>
        </w:tc>
        <w:tc>
          <w:tcPr>
            <w:tcW w:w="606" w:type="pct"/>
            <w:tcBorders>
              <w:right w:val="nil"/>
            </w:tcBorders>
            <w:noWrap w:val="0"/>
            <w:vAlign w:val="center"/>
          </w:tcPr>
          <w:p>
            <w:pPr>
              <w:rPr>
                <w:rFonts w:ascii="Times New Roman" w:hAnsi="Times New Roman"/>
                <w:sz w:val="20"/>
                <w:szCs w:val="20"/>
              </w:rPr>
            </w:pPr>
            <w:r>
              <w:rPr>
                <w:rFonts w:ascii="Times New Roman" w:hAnsi="Times New Roman"/>
                <w:sz w:val="20"/>
                <w:szCs w:val="20"/>
              </w:rPr>
              <w:t xml:space="preserve">1.795 </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654" w:type="pct"/>
            <w:noWrap/>
            <w:vAlign w:val="center"/>
          </w:tcPr>
          <w:p>
            <w:pPr>
              <w:widowControl/>
              <w:rPr>
                <w:rFonts w:ascii="Times New Roman" w:hAnsi="Times New Roman"/>
                <w:b/>
                <w:kern w:val="0"/>
                <w:sz w:val="20"/>
                <w:szCs w:val="20"/>
              </w:rPr>
            </w:pPr>
            <w:r>
              <w:rPr>
                <w:rFonts w:ascii="Times New Roman" w:hAnsi="Times New Roman"/>
                <w:bCs/>
                <w:kern w:val="0"/>
                <w:sz w:val="20"/>
                <w:szCs w:val="20"/>
              </w:rPr>
              <w:t>6</w:t>
            </w:r>
          </w:p>
        </w:tc>
        <w:tc>
          <w:tcPr>
            <w:tcW w:w="651" w:type="pct"/>
            <w:noWrap/>
            <w:vAlign w:val="center"/>
          </w:tcPr>
          <w:p>
            <w:pPr>
              <w:widowControl/>
              <w:rPr>
                <w:rFonts w:ascii="Times New Roman" w:hAnsi="Times New Roman"/>
                <w:kern w:val="0"/>
                <w:sz w:val="20"/>
                <w:szCs w:val="20"/>
              </w:rPr>
            </w:pPr>
            <w:r>
              <w:rPr>
                <w:rFonts w:ascii="Times New Roman" w:hAnsi="Times New Roman"/>
                <w:kern w:val="0"/>
                <w:sz w:val="20"/>
                <w:szCs w:val="20"/>
              </w:rPr>
              <w:t xml:space="preserve">2931 </w:t>
            </w:r>
          </w:p>
        </w:tc>
        <w:tc>
          <w:tcPr>
            <w:tcW w:w="587" w:type="pct"/>
            <w:noWrap/>
            <w:vAlign w:val="center"/>
          </w:tcPr>
          <w:p>
            <w:pPr>
              <w:widowControl/>
              <w:rPr>
                <w:rFonts w:ascii="Times New Roman" w:hAnsi="Times New Roman"/>
                <w:kern w:val="0"/>
                <w:sz w:val="20"/>
                <w:szCs w:val="20"/>
              </w:rPr>
            </w:pPr>
            <w:r>
              <w:rPr>
                <w:rFonts w:ascii="Times New Roman" w:hAnsi="Times New Roman"/>
                <w:kern w:val="0"/>
                <w:sz w:val="20"/>
                <w:szCs w:val="20"/>
              </w:rPr>
              <w:t xml:space="preserve">29.144 </w:t>
            </w:r>
          </w:p>
        </w:tc>
        <w:tc>
          <w:tcPr>
            <w:tcW w:w="671" w:type="pct"/>
            <w:noWrap/>
            <w:vAlign w:val="center"/>
          </w:tcPr>
          <w:p>
            <w:pPr>
              <w:widowControl/>
              <w:rPr>
                <w:rFonts w:ascii="Times New Roman" w:hAnsi="Times New Roman"/>
                <w:kern w:val="0"/>
                <w:sz w:val="20"/>
                <w:szCs w:val="20"/>
              </w:rPr>
            </w:pPr>
            <w:r>
              <w:rPr>
                <w:rFonts w:ascii="Times New Roman" w:hAnsi="Times New Roman"/>
                <w:kern w:val="0"/>
                <w:sz w:val="20"/>
                <w:szCs w:val="20"/>
              </w:rPr>
              <w:t xml:space="preserve">98.648 </w:t>
            </w:r>
          </w:p>
        </w:tc>
        <w:tc>
          <w:tcPr>
            <w:tcW w:w="570" w:type="pct"/>
            <w:noWrap w:val="0"/>
            <w:vAlign w:val="center"/>
          </w:tcPr>
          <w:p>
            <w:pPr>
              <w:rPr>
                <w:rFonts w:ascii="Times New Roman" w:hAnsi="Times New Roman"/>
                <w:sz w:val="20"/>
                <w:szCs w:val="20"/>
              </w:rPr>
            </w:pPr>
            <w:r>
              <w:rPr>
                <w:rFonts w:ascii="Times New Roman" w:hAnsi="Times New Roman"/>
                <w:sz w:val="20"/>
                <w:szCs w:val="20"/>
              </w:rPr>
              <w:t xml:space="preserve">3.958 </w:t>
            </w:r>
          </w:p>
        </w:tc>
        <w:tc>
          <w:tcPr>
            <w:tcW w:w="662" w:type="pct"/>
            <w:noWrap w:val="0"/>
            <w:vAlign w:val="center"/>
          </w:tcPr>
          <w:p>
            <w:pPr>
              <w:rPr>
                <w:rFonts w:ascii="Times New Roman" w:hAnsi="Times New Roman"/>
                <w:sz w:val="20"/>
                <w:szCs w:val="20"/>
              </w:rPr>
            </w:pPr>
            <w:r>
              <w:rPr>
                <w:rFonts w:ascii="Times New Roman" w:hAnsi="Times New Roman"/>
                <w:sz w:val="20"/>
                <w:szCs w:val="20"/>
              </w:rPr>
              <w:t xml:space="preserve">64.406 </w:t>
            </w:r>
          </w:p>
        </w:tc>
        <w:tc>
          <w:tcPr>
            <w:tcW w:w="599" w:type="pct"/>
            <w:noWrap w:val="0"/>
            <w:vAlign w:val="center"/>
          </w:tcPr>
          <w:p>
            <w:pPr>
              <w:rPr>
                <w:rFonts w:ascii="Times New Roman" w:hAnsi="Times New Roman"/>
                <w:sz w:val="20"/>
                <w:szCs w:val="20"/>
              </w:rPr>
            </w:pPr>
            <w:r>
              <w:rPr>
                <w:rFonts w:ascii="Times New Roman" w:hAnsi="Times New Roman"/>
                <w:sz w:val="20"/>
                <w:szCs w:val="20"/>
              </w:rPr>
              <w:t xml:space="preserve">52.855 </w:t>
            </w:r>
          </w:p>
        </w:tc>
        <w:tc>
          <w:tcPr>
            <w:tcW w:w="606" w:type="pct"/>
            <w:noWrap w:val="0"/>
            <w:vAlign w:val="center"/>
          </w:tcPr>
          <w:p>
            <w:pPr>
              <w:rPr>
                <w:rFonts w:ascii="Times New Roman" w:hAnsi="Times New Roman"/>
                <w:sz w:val="20"/>
                <w:szCs w:val="20"/>
              </w:rPr>
            </w:pPr>
            <w:r>
              <w:rPr>
                <w:rFonts w:ascii="Times New Roman" w:hAnsi="Times New Roman"/>
                <w:sz w:val="20"/>
                <w:szCs w:val="20"/>
              </w:rPr>
              <w:t xml:space="preserve">1.784 </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654" w:type="pct"/>
            <w:tcBorders>
              <w:left w:val="nil"/>
              <w:right w:val="nil"/>
            </w:tcBorders>
            <w:noWrap/>
            <w:vAlign w:val="center"/>
          </w:tcPr>
          <w:p>
            <w:pPr>
              <w:widowControl/>
              <w:rPr>
                <w:rFonts w:ascii="Times New Roman" w:hAnsi="Times New Roman"/>
                <w:b/>
                <w:kern w:val="0"/>
                <w:sz w:val="20"/>
                <w:szCs w:val="20"/>
              </w:rPr>
            </w:pPr>
            <w:r>
              <w:rPr>
                <w:rFonts w:ascii="Times New Roman" w:hAnsi="Times New Roman"/>
                <w:bCs/>
                <w:kern w:val="0"/>
                <w:sz w:val="20"/>
                <w:szCs w:val="20"/>
              </w:rPr>
              <w:t>7</w:t>
            </w:r>
          </w:p>
        </w:tc>
        <w:tc>
          <w:tcPr>
            <w:tcW w:w="651" w:type="pct"/>
            <w:tcBorders>
              <w:right w:val="nil"/>
            </w:tcBorders>
            <w:noWrap/>
            <w:vAlign w:val="center"/>
          </w:tcPr>
          <w:p>
            <w:pPr>
              <w:widowControl/>
              <w:rPr>
                <w:rFonts w:ascii="Times New Roman" w:hAnsi="Times New Roman"/>
                <w:kern w:val="0"/>
                <w:sz w:val="20"/>
                <w:szCs w:val="20"/>
              </w:rPr>
            </w:pPr>
            <w:r>
              <w:rPr>
                <w:rFonts w:ascii="Times New Roman" w:hAnsi="Times New Roman"/>
                <w:kern w:val="0"/>
                <w:sz w:val="20"/>
                <w:szCs w:val="20"/>
              </w:rPr>
              <w:t xml:space="preserve">3005 </w:t>
            </w:r>
          </w:p>
        </w:tc>
        <w:tc>
          <w:tcPr>
            <w:tcW w:w="587" w:type="pct"/>
            <w:tcBorders>
              <w:right w:val="nil"/>
            </w:tcBorders>
            <w:noWrap/>
            <w:vAlign w:val="center"/>
          </w:tcPr>
          <w:p>
            <w:pPr>
              <w:widowControl/>
              <w:rPr>
                <w:rFonts w:ascii="Times New Roman" w:hAnsi="Times New Roman"/>
                <w:kern w:val="0"/>
                <w:sz w:val="20"/>
                <w:szCs w:val="20"/>
              </w:rPr>
            </w:pPr>
            <w:r>
              <w:rPr>
                <w:rFonts w:ascii="Times New Roman" w:hAnsi="Times New Roman"/>
                <w:kern w:val="0"/>
                <w:sz w:val="20"/>
                <w:szCs w:val="20"/>
              </w:rPr>
              <w:t xml:space="preserve">28.478 </w:t>
            </w:r>
          </w:p>
        </w:tc>
        <w:tc>
          <w:tcPr>
            <w:tcW w:w="671" w:type="pct"/>
            <w:tcBorders>
              <w:right w:val="nil"/>
            </w:tcBorders>
            <w:noWrap/>
            <w:vAlign w:val="center"/>
          </w:tcPr>
          <w:p>
            <w:pPr>
              <w:widowControl/>
              <w:rPr>
                <w:rFonts w:ascii="Times New Roman" w:hAnsi="Times New Roman"/>
                <w:kern w:val="0"/>
                <w:sz w:val="20"/>
                <w:szCs w:val="20"/>
              </w:rPr>
            </w:pPr>
            <w:r>
              <w:rPr>
                <w:rFonts w:ascii="Times New Roman" w:hAnsi="Times New Roman"/>
                <w:kern w:val="0"/>
                <w:sz w:val="20"/>
                <w:szCs w:val="20"/>
              </w:rPr>
              <w:t xml:space="preserve">98.854 </w:t>
            </w:r>
          </w:p>
        </w:tc>
        <w:tc>
          <w:tcPr>
            <w:tcW w:w="570" w:type="pct"/>
            <w:tcBorders>
              <w:right w:val="nil"/>
            </w:tcBorders>
            <w:noWrap w:val="0"/>
            <w:vAlign w:val="center"/>
          </w:tcPr>
          <w:p>
            <w:pPr>
              <w:rPr>
                <w:rFonts w:ascii="Times New Roman" w:hAnsi="Times New Roman"/>
                <w:sz w:val="20"/>
                <w:szCs w:val="20"/>
              </w:rPr>
            </w:pPr>
            <w:r>
              <w:rPr>
                <w:rFonts w:ascii="Times New Roman" w:hAnsi="Times New Roman"/>
                <w:sz w:val="20"/>
                <w:szCs w:val="20"/>
              </w:rPr>
              <w:t xml:space="preserve">4.586 </w:t>
            </w:r>
          </w:p>
        </w:tc>
        <w:tc>
          <w:tcPr>
            <w:tcW w:w="662" w:type="pct"/>
            <w:tcBorders>
              <w:right w:val="nil"/>
            </w:tcBorders>
            <w:noWrap w:val="0"/>
            <w:vAlign w:val="center"/>
          </w:tcPr>
          <w:p>
            <w:pPr>
              <w:rPr>
                <w:rFonts w:ascii="Times New Roman" w:hAnsi="Times New Roman"/>
                <w:sz w:val="20"/>
                <w:szCs w:val="20"/>
              </w:rPr>
            </w:pPr>
            <w:r>
              <w:rPr>
                <w:rFonts w:ascii="Times New Roman" w:hAnsi="Times New Roman"/>
                <w:sz w:val="20"/>
                <w:szCs w:val="20"/>
              </w:rPr>
              <w:t xml:space="preserve">70.296 </w:t>
            </w:r>
          </w:p>
        </w:tc>
        <w:tc>
          <w:tcPr>
            <w:tcW w:w="599" w:type="pct"/>
            <w:tcBorders>
              <w:right w:val="nil"/>
            </w:tcBorders>
            <w:noWrap w:val="0"/>
            <w:vAlign w:val="center"/>
          </w:tcPr>
          <w:p>
            <w:pPr>
              <w:rPr>
                <w:rFonts w:ascii="Times New Roman" w:hAnsi="Times New Roman"/>
                <w:sz w:val="20"/>
                <w:szCs w:val="20"/>
              </w:rPr>
            </w:pPr>
            <w:r>
              <w:rPr>
                <w:rFonts w:ascii="Times New Roman" w:hAnsi="Times New Roman"/>
                <w:sz w:val="20"/>
                <w:szCs w:val="20"/>
              </w:rPr>
              <w:t xml:space="preserve">55.407 </w:t>
            </w:r>
          </w:p>
        </w:tc>
        <w:tc>
          <w:tcPr>
            <w:tcW w:w="606" w:type="pct"/>
            <w:tcBorders>
              <w:right w:val="nil"/>
            </w:tcBorders>
            <w:noWrap w:val="0"/>
            <w:vAlign w:val="center"/>
          </w:tcPr>
          <w:p>
            <w:pPr>
              <w:rPr>
                <w:rFonts w:ascii="Times New Roman" w:hAnsi="Times New Roman"/>
                <w:sz w:val="20"/>
                <w:szCs w:val="20"/>
              </w:rPr>
            </w:pPr>
            <w:r>
              <w:rPr>
                <w:rFonts w:ascii="Times New Roman" w:hAnsi="Times New Roman"/>
                <w:sz w:val="20"/>
                <w:szCs w:val="20"/>
              </w:rPr>
              <w:t xml:space="preserve">1.814 </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654" w:type="pct"/>
            <w:noWrap/>
            <w:vAlign w:val="center"/>
          </w:tcPr>
          <w:p>
            <w:pPr>
              <w:widowControl/>
              <w:rPr>
                <w:rFonts w:ascii="Times New Roman" w:hAnsi="Times New Roman"/>
                <w:b/>
                <w:kern w:val="0"/>
                <w:sz w:val="20"/>
                <w:szCs w:val="20"/>
              </w:rPr>
            </w:pPr>
            <w:r>
              <w:rPr>
                <w:rFonts w:ascii="Times New Roman" w:hAnsi="Times New Roman"/>
                <w:bCs/>
                <w:kern w:val="0"/>
                <w:sz w:val="20"/>
                <w:szCs w:val="20"/>
              </w:rPr>
              <w:t>8</w:t>
            </w:r>
          </w:p>
        </w:tc>
        <w:tc>
          <w:tcPr>
            <w:tcW w:w="651" w:type="pct"/>
            <w:noWrap/>
            <w:vAlign w:val="center"/>
          </w:tcPr>
          <w:p>
            <w:pPr>
              <w:widowControl/>
              <w:rPr>
                <w:rFonts w:ascii="Times New Roman" w:hAnsi="Times New Roman"/>
                <w:kern w:val="0"/>
                <w:sz w:val="20"/>
                <w:szCs w:val="20"/>
              </w:rPr>
            </w:pPr>
            <w:r>
              <w:rPr>
                <w:rFonts w:ascii="Times New Roman" w:hAnsi="Times New Roman"/>
                <w:kern w:val="0"/>
                <w:sz w:val="20"/>
                <w:szCs w:val="20"/>
              </w:rPr>
              <w:t xml:space="preserve">3157 </w:t>
            </w:r>
          </w:p>
        </w:tc>
        <w:tc>
          <w:tcPr>
            <w:tcW w:w="587" w:type="pct"/>
            <w:noWrap/>
            <w:vAlign w:val="center"/>
          </w:tcPr>
          <w:p>
            <w:pPr>
              <w:widowControl/>
              <w:rPr>
                <w:rFonts w:ascii="Times New Roman" w:hAnsi="Times New Roman"/>
                <w:kern w:val="0"/>
                <w:sz w:val="20"/>
                <w:szCs w:val="20"/>
              </w:rPr>
            </w:pPr>
            <w:r>
              <w:rPr>
                <w:rFonts w:ascii="Times New Roman" w:hAnsi="Times New Roman"/>
                <w:kern w:val="0"/>
                <w:sz w:val="20"/>
                <w:szCs w:val="20"/>
              </w:rPr>
              <w:t xml:space="preserve">29.168 </w:t>
            </w:r>
          </w:p>
        </w:tc>
        <w:tc>
          <w:tcPr>
            <w:tcW w:w="671" w:type="pct"/>
            <w:noWrap/>
            <w:vAlign w:val="center"/>
          </w:tcPr>
          <w:p>
            <w:pPr>
              <w:widowControl/>
              <w:rPr>
                <w:rFonts w:ascii="Times New Roman" w:hAnsi="Times New Roman"/>
                <w:kern w:val="0"/>
                <w:sz w:val="20"/>
                <w:szCs w:val="20"/>
              </w:rPr>
            </w:pPr>
            <w:r>
              <w:rPr>
                <w:rFonts w:ascii="Times New Roman" w:hAnsi="Times New Roman"/>
                <w:kern w:val="0"/>
                <w:sz w:val="20"/>
                <w:szCs w:val="20"/>
              </w:rPr>
              <w:t xml:space="preserve">98.652 </w:t>
            </w:r>
          </w:p>
        </w:tc>
        <w:tc>
          <w:tcPr>
            <w:tcW w:w="570" w:type="pct"/>
            <w:noWrap w:val="0"/>
            <w:vAlign w:val="center"/>
          </w:tcPr>
          <w:p>
            <w:pPr>
              <w:rPr>
                <w:rFonts w:ascii="Times New Roman" w:hAnsi="Times New Roman"/>
                <w:sz w:val="20"/>
                <w:szCs w:val="20"/>
              </w:rPr>
            </w:pPr>
            <w:r>
              <w:rPr>
                <w:rFonts w:ascii="Times New Roman" w:hAnsi="Times New Roman"/>
                <w:sz w:val="20"/>
                <w:szCs w:val="20"/>
              </w:rPr>
              <w:t xml:space="preserve">4.729 </w:t>
            </w:r>
          </w:p>
        </w:tc>
        <w:tc>
          <w:tcPr>
            <w:tcW w:w="662" w:type="pct"/>
            <w:noWrap w:val="0"/>
            <w:vAlign w:val="center"/>
          </w:tcPr>
          <w:p>
            <w:pPr>
              <w:rPr>
                <w:rFonts w:ascii="Times New Roman" w:hAnsi="Times New Roman"/>
                <w:sz w:val="20"/>
                <w:szCs w:val="20"/>
              </w:rPr>
            </w:pPr>
            <w:r>
              <w:rPr>
                <w:rFonts w:ascii="Times New Roman" w:hAnsi="Times New Roman"/>
                <w:sz w:val="20"/>
                <w:szCs w:val="20"/>
              </w:rPr>
              <w:t xml:space="preserve">63.193 </w:t>
            </w:r>
          </w:p>
        </w:tc>
        <w:tc>
          <w:tcPr>
            <w:tcW w:w="599" w:type="pct"/>
            <w:noWrap w:val="0"/>
            <w:vAlign w:val="center"/>
          </w:tcPr>
          <w:p>
            <w:pPr>
              <w:rPr>
                <w:rFonts w:ascii="Times New Roman" w:hAnsi="Times New Roman"/>
                <w:sz w:val="20"/>
                <w:szCs w:val="20"/>
              </w:rPr>
            </w:pPr>
            <w:r>
              <w:rPr>
                <w:rFonts w:ascii="Times New Roman" w:hAnsi="Times New Roman"/>
                <w:sz w:val="20"/>
                <w:szCs w:val="20"/>
              </w:rPr>
              <w:t xml:space="preserve">53.174 </w:t>
            </w:r>
          </w:p>
        </w:tc>
        <w:tc>
          <w:tcPr>
            <w:tcW w:w="606" w:type="pct"/>
            <w:noWrap w:val="0"/>
            <w:vAlign w:val="center"/>
          </w:tcPr>
          <w:p>
            <w:pPr>
              <w:rPr>
                <w:rFonts w:ascii="Times New Roman" w:hAnsi="Times New Roman"/>
                <w:sz w:val="20"/>
                <w:szCs w:val="20"/>
              </w:rPr>
            </w:pPr>
            <w:r>
              <w:rPr>
                <w:rFonts w:ascii="Times New Roman" w:hAnsi="Times New Roman"/>
                <w:sz w:val="20"/>
                <w:szCs w:val="20"/>
              </w:rPr>
              <w:t xml:space="preserve">1.802 </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654" w:type="pct"/>
            <w:tcBorders>
              <w:left w:val="nil"/>
              <w:bottom w:val="single" w:color="000000" w:sz="8" w:space="0"/>
              <w:right w:val="nil"/>
            </w:tcBorders>
            <w:noWrap/>
            <w:vAlign w:val="center"/>
          </w:tcPr>
          <w:p>
            <w:pPr>
              <w:widowControl/>
              <w:rPr>
                <w:rFonts w:ascii="Times New Roman" w:hAnsi="Times New Roman"/>
                <w:b/>
                <w:kern w:val="0"/>
                <w:sz w:val="20"/>
                <w:szCs w:val="20"/>
              </w:rPr>
            </w:pPr>
            <w:r>
              <w:rPr>
                <w:rFonts w:ascii="Times New Roman" w:hAnsi="Times New Roman"/>
                <w:bCs/>
                <w:kern w:val="0"/>
                <w:sz w:val="20"/>
                <w:szCs w:val="20"/>
              </w:rPr>
              <w:t>9</w:t>
            </w:r>
          </w:p>
        </w:tc>
        <w:tc>
          <w:tcPr>
            <w:tcW w:w="651" w:type="pct"/>
            <w:tcBorders>
              <w:bottom w:val="single" w:color="000000" w:sz="8" w:space="0"/>
              <w:right w:val="nil"/>
            </w:tcBorders>
            <w:noWrap/>
            <w:vAlign w:val="center"/>
          </w:tcPr>
          <w:p>
            <w:pPr>
              <w:widowControl/>
              <w:rPr>
                <w:rFonts w:ascii="Times New Roman" w:hAnsi="Times New Roman"/>
                <w:kern w:val="0"/>
                <w:sz w:val="20"/>
                <w:szCs w:val="20"/>
              </w:rPr>
            </w:pPr>
            <w:r>
              <w:rPr>
                <w:rFonts w:ascii="Times New Roman" w:hAnsi="Times New Roman"/>
                <w:kern w:val="0"/>
                <w:sz w:val="20"/>
                <w:szCs w:val="20"/>
              </w:rPr>
              <w:t xml:space="preserve">3373 </w:t>
            </w:r>
          </w:p>
        </w:tc>
        <w:tc>
          <w:tcPr>
            <w:tcW w:w="587" w:type="pct"/>
            <w:tcBorders>
              <w:bottom w:val="single" w:color="000000" w:sz="8" w:space="0"/>
              <w:right w:val="nil"/>
            </w:tcBorders>
            <w:noWrap/>
            <w:vAlign w:val="center"/>
          </w:tcPr>
          <w:p>
            <w:pPr>
              <w:widowControl/>
              <w:rPr>
                <w:rFonts w:ascii="Times New Roman" w:hAnsi="Times New Roman"/>
                <w:kern w:val="0"/>
                <w:sz w:val="20"/>
                <w:szCs w:val="20"/>
              </w:rPr>
            </w:pPr>
            <w:r>
              <w:rPr>
                <w:rFonts w:ascii="Times New Roman" w:hAnsi="Times New Roman"/>
                <w:kern w:val="0"/>
                <w:sz w:val="20"/>
                <w:szCs w:val="20"/>
              </w:rPr>
              <w:t xml:space="preserve">29.189 </w:t>
            </w:r>
          </w:p>
        </w:tc>
        <w:tc>
          <w:tcPr>
            <w:tcW w:w="671" w:type="pct"/>
            <w:tcBorders>
              <w:bottom w:val="single" w:color="000000" w:sz="8" w:space="0"/>
              <w:right w:val="nil"/>
            </w:tcBorders>
            <w:noWrap/>
            <w:vAlign w:val="center"/>
          </w:tcPr>
          <w:p>
            <w:pPr>
              <w:widowControl/>
              <w:rPr>
                <w:rFonts w:ascii="Times New Roman" w:hAnsi="Times New Roman"/>
                <w:kern w:val="0"/>
                <w:sz w:val="20"/>
                <w:szCs w:val="20"/>
              </w:rPr>
            </w:pPr>
            <w:r>
              <w:rPr>
                <w:rFonts w:ascii="Times New Roman" w:hAnsi="Times New Roman"/>
                <w:kern w:val="0"/>
                <w:sz w:val="20"/>
                <w:szCs w:val="20"/>
              </w:rPr>
              <w:t xml:space="preserve">98.627 </w:t>
            </w:r>
          </w:p>
        </w:tc>
        <w:tc>
          <w:tcPr>
            <w:tcW w:w="570" w:type="pct"/>
            <w:tcBorders>
              <w:bottom w:val="single" w:color="000000" w:sz="8" w:space="0"/>
              <w:right w:val="nil"/>
            </w:tcBorders>
            <w:noWrap w:val="0"/>
            <w:vAlign w:val="center"/>
          </w:tcPr>
          <w:p>
            <w:pPr>
              <w:rPr>
                <w:rFonts w:ascii="Times New Roman" w:hAnsi="Times New Roman"/>
                <w:sz w:val="20"/>
                <w:szCs w:val="20"/>
              </w:rPr>
            </w:pPr>
            <w:r>
              <w:rPr>
                <w:rFonts w:ascii="Times New Roman" w:hAnsi="Times New Roman"/>
                <w:sz w:val="20"/>
                <w:szCs w:val="20"/>
              </w:rPr>
              <w:t xml:space="preserve">5.050 </w:t>
            </w:r>
          </w:p>
        </w:tc>
        <w:tc>
          <w:tcPr>
            <w:tcW w:w="662" w:type="pct"/>
            <w:tcBorders>
              <w:bottom w:val="single" w:color="000000" w:sz="8" w:space="0"/>
              <w:right w:val="nil"/>
            </w:tcBorders>
            <w:noWrap w:val="0"/>
            <w:vAlign w:val="center"/>
          </w:tcPr>
          <w:p>
            <w:pPr>
              <w:rPr>
                <w:rFonts w:ascii="Times New Roman" w:hAnsi="Times New Roman"/>
                <w:sz w:val="20"/>
                <w:szCs w:val="20"/>
              </w:rPr>
            </w:pPr>
            <w:r>
              <w:rPr>
                <w:rFonts w:ascii="Times New Roman" w:hAnsi="Times New Roman"/>
                <w:sz w:val="20"/>
                <w:szCs w:val="20"/>
              </w:rPr>
              <w:t xml:space="preserve">62.585 </w:t>
            </w:r>
          </w:p>
        </w:tc>
        <w:tc>
          <w:tcPr>
            <w:tcW w:w="599" w:type="pct"/>
            <w:tcBorders>
              <w:bottom w:val="single" w:color="000000" w:sz="8" w:space="0"/>
              <w:right w:val="nil"/>
            </w:tcBorders>
            <w:noWrap w:val="0"/>
            <w:vAlign w:val="center"/>
          </w:tcPr>
          <w:p>
            <w:pPr>
              <w:rPr>
                <w:rFonts w:ascii="Times New Roman" w:hAnsi="Times New Roman"/>
                <w:sz w:val="20"/>
                <w:szCs w:val="20"/>
              </w:rPr>
            </w:pPr>
            <w:r>
              <w:rPr>
                <w:rFonts w:ascii="Times New Roman" w:hAnsi="Times New Roman"/>
                <w:sz w:val="20"/>
                <w:szCs w:val="20"/>
              </w:rPr>
              <w:t xml:space="preserve">53.505 </w:t>
            </w:r>
          </w:p>
        </w:tc>
        <w:tc>
          <w:tcPr>
            <w:tcW w:w="606" w:type="pct"/>
            <w:tcBorders>
              <w:bottom w:val="single" w:color="000000" w:sz="8" w:space="0"/>
              <w:right w:val="nil"/>
            </w:tcBorders>
            <w:noWrap w:val="0"/>
            <w:vAlign w:val="center"/>
          </w:tcPr>
          <w:p>
            <w:pPr>
              <w:rPr>
                <w:rFonts w:ascii="Times New Roman" w:hAnsi="Times New Roman"/>
                <w:sz w:val="20"/>
                <w:szCs w:val="20"/>
              </w:rPr>
            </w:pPr>
            <w:r>
              <w:rPr>
                <w:rFonts w:ascii="Times New Roman" w:hAnsi="Times New Roman"/>
                <w:sz w:val="20"/>
                <w:szCs w:val="20"/>
              </w:rPr>
              <w:t xml:space="preserve">1.818 </w:t>
            </w:r>
          </w:p>
        </w:tc>
      </w:tr>
    </w:tbl>
    <w:p>
      <w:pPr>
        <w:spacing w:before="156" w:beforeLines="50" w:after="156" w:afterLines="50"/>
        <w:rPr>
          <w:rFonts w:ascii="Times New Roman" w:hAnsi="Times New Roman"/>
          <w:sz w:val="20"/>
          <w:szCs w:val="20"/>
        </w:rPr>
      </w:pPr>
      <w:r>
        <w:rPr>
          <w:rFonts w:ascii="Times New Roman" w:hAnsi="Times New Roman"/>
          <w:sz w:val="20"/>
          <w:szCs w:val="20"/>
        </w:rPr>
        <w:t>MAT, mean annual temperature; MAP, mean annual precipitation; RH, annual mean relative humidity; UV-B, daily mean maximum ultraviolet-B intensity during the growing season.</w:t>
      </w:r>
    </w:p>
    <w:p>
      <w:pPr>
        <w:spacing w:before="156" w:beforeLines="50" w:after="156" w:afterLines="50"/>
        <w:rPr>
          <w:rFonts w:ascii="Times New Roman" w:hAnsi="Times New Roman"/>
          <w:sz w:val="20"/>
          <w:szCs w:val="20"/>
        </w:rPr>
      </w:pPr>
    </w:p>
    <w:p>
      <w:pPr>
        <w:spacing w:before="156" w:beforeLines="50" w:after="156" w:afterLines="50"/>
        <w:rPr>
          <w:rFonts w:ascii="Times New Roman" w:hAnsi="Times New Roman"/>
          <w:sz w:val="20"/>
          <w:szCs w:val="20"/>
        </w:rPr>
      </w:pPr>
    </w:p>
    <w:p>
      <w:pPr>
        <w:spacing w:before="156" w:beforeLines="50" w:after="156" w:afterLines="50"/>
        <w:rPr>
          <w:rFonts w:ascii="Times New Roman" w:hAnsi="Times New Roman"/>
          <w:sz w:val="20"/>
          <w:szCs w:val="20"/>
        </w:rPr>
      </w:pPr>
    </w:p>
    <w:p>
      <w:pPr>
        <w:spacing w:before="156" w:beforeLines="50" w:after="156" w:afterLines="50"/>
        <w:rPr>
          <w:rFonts w:ascii="Times New Roman" w:hAnsi="Times New Roman"/>
          <w:sz w:val="20"/>
          <w:szCs w:val="20"/>
        </w:rPr>
      </w:pPr>
    </w:p>
    <w:p>
      <w:pPr>
        <w:spacing w:before="156" w:beforeLines="50" w:after="156" w:afterLines="50"/>
        <w:rPr>
          <w:rFonts w:ascii="Times New Roman" w:hAnsi="Times New Roman"/>
          <w:sz w:val="20"/>
          <w:szCs w:val="20"/>
        </w:rPr>
      </w:pPr>
    </w:p>
    <w:p>
      <w:pPr>
        <w:spacing w:before="156" w:beforeLines="50" w:after="156" w:afterLines="50"/>
        <w:rPr>
          <w:rFonts w:ascii="Times New Roman" w:hAnsi="Times New Roman"/>
          <w:sz w:val="20"/>
          <w:szCs w:val="20"/>
        </w:rPr>
      </w:pPr>
    </w:p>
    <w:p>
      <w:pPr>
        <w:spacing w:before="156" w:beforeLines="50" w:after="156" w:afterLines="50"/>
        <w:rPr>
          <w:rFonts w:ascii="Times New Roman" w:hAnsi="Times New Roman"/>
          <w:sz w:val="20"/>
          <w:szCs w:val="20"/>
        </w:rPr>
      </w:pPr>
    </w:p>
    <w:p>
      <w:pPr>
        <w:spacing w:before="156" w:beforeLines="50" w:after="156" w:afterLines="50"/>
        <w:rPr>
          <w:rFonts w:ascii="Times New Roman" w:hAnsi="Times New Roman"/>
          <w:sz w:val="20"/>
          <w:szCs w:val="20"/>
        </w:rPr>
      </w:pPr>
    </w:p>
    <w:p>
      <w:pPr>
        <w:spacing w:before="156" w:beforeLines="50" w:after="156" w:afterLines="50"/>
        <w:rPr>
          <w:rFonts w:ascii="Times New Roman" w:hAnsi="Times New Roman"/>
          <w:sz w:val="20"/>
          <w:szCs w:val="20"/>
        </w:rPr>
      </w:pPr>
    </w:p>
    <w:p>
      <w:pPr>
        <w:spacing w:before="156" w:beforeLines="50" w:after="156" w:afterLines="50"/>
        <w:rPr>
          <w:rFonts w:ascii="Times New Roman" w:hAnsi="Times New Roman"/>
          <w:sz w:val="20"/>
          <w:szCs w:val="20"/>
        </w:rPr>
      </w:pPr>
    </w:p>
    <w:p>
      <w:pPr>
        <w:spacing w:before="156" w:beforeLines="50" w:after="156" w:afterLines="50"/>
        <w:rPr>
          <w:rFonts w:ascii="Times New Roman" w:hAnsi="Times New Roman"/>
          <w:sz w:val="20"/>
          <w:szCs w:val="20"/>
        </w:rPr>
      </w:pPr>
    </w:p>
    <w:p>
      <w:pPr>
        <w:spacing w:before="156" w:beforeLines="50" w:after="156" w:afterLines="50"/>
        <w:rPr>
          <w:rFonts w:ascii="Times New Roman" w:hAnsi="Times New Roman"/>
          <w:sz w:val="20"/>
          <w:szCs w:val="20"/>
        </w:rPr>
      </w:pPr>
    </w:p>
    <w:p>
      <w:pPr>
        <w:spacing w:before="156" w:beforeLines="50" w:after="156" w:afterLines="50"/>
        <w:rPr>
          <w:rFonts w:ascii="Times New Roman" w:hAnsi="Times New Roman"/>
          <w:sz w:val="20"/>
          <w:szCs w:val="20"/>
        </w:rPr>
      </w:pPr>
    </w:p>
    <w:p>
      <w:pPr>
        <w:spacing w:before="156" w:beforeLines="50" w:after="156" w:afterLines="50"/>
        <w:rPr>
          <w:rFonts w:ascii="Times New Roman" w:hAnsi="Times New Roman"/>
          <w:sz w:val="20"/>
          <w:szCs w:val="20"/>
        </w:rPr>
      </w:pPr>
    </w:p>
    <w:p>
      <w:pPr>
        <w:spacing w:line="360" w:lineRule="auto"/>
        <w:jc w:val="center"/>
        <w:rPr>
          <w:rFonts w:ascii="Arial" w:hAnsi="Arial" w:cs="Arial"/>
          <w:b/>
          <w:sz w:val="20"/>
          <w:szCs w:val="20"/>
        </w:rPr>
      </w:pPr>
      <w:r>
        <w:rPr>
          <w:rFonts w:ascii="Arial" w:hAnsi="Arial" w:cs="Arial"/>
          <w:b/>
          <w:sz w:val="20"/>
          <w:szCs w:val="20"/>
        </w:rPr>
        <w:drawing>
          <wp:inline distT="0" distB="0" distL="114300" distR="114300">
            <wp:extent cx="5274310" cy="1301750"/>
            <wp:effectExtent l="0" t="0" r="2540" b="12700"/>
            <wp:docPr id="1" name="图片 1" descr="D:\1-科研\4-中华山蓼\11-Ecosystem Health and Sustainability\Figures\Fig-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科研\4-中华山蓼\11-Ecosystem Health and Sustainability\Figures\Fig-1-2.tif"/>
                    <pic:cNvPicPr>
                      <a:picLocks noChangeAspect="1"/>
                    </pic:cNvPicPr>
                  </pic:nvPicPr>
                  <pic:blipFill>
                    <a:blip r:embed="rId5"/>
                    <a:stretch>
                      <a:fillRect/>
                    </a:stretch>
                  </pic:blipFill>
                  <pic:spPr>
                    <a:xfrm>
                      <a:off x="0" y="0"/>
                      <a:ext cx="5274310" cy="1301750"/>
                    </a:xfrm>
                    <a:prstGeom prst="rect">
                      <a:avLst/>
                    </a:prstGeom>
                    <a:noFill/>
                    <a:ln>
                      <a:noFill/>
                    </a:ln>
                  </pic:spPr>
                </pic:pic>
              </a:graphicData>
            </a:graphic>
          </wp:inline>
        </w:drawing>
      </w:r>
    </w:p>
    <w:p>
      <w:pPr>
        <w:spacing w:line="360" w:lineRule="auto"/>
        <w:jc w:val="center"/>
        <w:rPr>
          <w:rFonts w:ascii="Times New Roman" w:hAnsi="Times New Roman"/>
          <w:sz w:val="24"/>
          <w:szCs w:val="24"/>
        </w:rPr>
      </w:pPr>
      <w:r>
        <w:rPr>
          <w:rFonts w:ascii="Times New Roman" w:hAnsi="Times New Roman"/>
          <w:b/>
          <w:sz w:val="24"/>
          <w:szCs w:val="24"/>
        </w:rPr>
        <w:t xml:space="preserve">Figure 1 </w:t>
      </w:r>
      <w:r>
        <w:rPr>
          <w:rFonts w:ascii="Times New Roman" w:hAnsi="Times New Roman"/>
          <w:sz w:val="24"/>
          <w:szCs w:val="24"/>
        </w:rPr>
        <w:t>Anatomical images of abaxial stomata (a), adaxial stomata (b) and veins (c) in this study.</w:t>
      </w:r>
    </w:p>
    <w:p>
      <w:pPr>
        <w:spacing w:line="360" w:lineRule="auto"/>
        <w:jc w:val="center"/>
        <w:rPr>
          <w:rFonts w:ascii="Times New Roman" w:hAnsi="Times New Roman"/>
          <w:sz w:val="24"/>
          <w:szCs w:val="24"/>
        </w:rPr>
      </w:pPr>
    </w:p>
    <w:p>
      <w:pPr>
        <w:spacing w:line="360" w:lineRule="auto"/>
        <w:jc w:val="center"/>
        <w:rPr>
          <w:rFonts w:ascii="Times New Roman" w:hAnsi="Times New Roman"/>
          <w:sz w:val="24"/>
          <w:szCs w:val="24"/>
        </w:rPr>
      </w:pPr>
    </w:p>
    <w:p>
      <w:pPr>
        <w:spacing w:line="360" w:lineRule="auto"/>
        <w:jc w:val="center"/>
        <w:rPr>
          <w:rFonts w:ascii="Times New Roman" w:hAnsi="Times New Roman"/>
          <w:sz w:val="24"/>
          <w:szCs w:val="24"/>
        </w:rPr>
      </w:pPr>
    </w:p>
    <w:p>
      <w:pPr>
        <w:spacing w:line="360" w:lineRule="auto"/>
        <w:jc w:val="center"/>
        <w:rPr>
          <w:rFonts w:ascii="Arial" w:hAnsi="Arial" w:cs="Arial"/>
          <w:sz w:val="20"/>
          <w:szCs w:val="20"/>
        </w:rPr>
      </w:pPr>
      <w:r>
        <w:rPr>
          <w:rFonts w:ascii="Arial" w:hAnsi="Arial" w:cs="Arial"/>
          <w:sz w:val="20"/>
          <w:szCs w:val="20"/>
        </w:rPr>
        <w:drawing>
          <wp:inline distT="0" distB="0" distL="114300" distR="114300">
            <wp:extent cx="5274310" cy="2780665"/>
            <wp:effectExtent l="0" t="0" r="2540" b="635"/>
            <wp:docPr id="5" name="图片 2" descr="D:\1-科研\4-中华山蓼\11-Ecosystem Health and Sustainability\Figures\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1-科研\4-中华山蓼\11-Ecosystem Health and Sustainability\Figures\Fig-2.tif"/>
                    <pic:cNvPicPr>
                      <a:picLocks noChangeAspect="1"/>
                    </pic:cNvPicPr>
                  </pic:nvPicPr>
                  <pic:blipFill>
                    <a:blip r:embed="rId6"/>
                    <a:stretch>
                      <a:fillRect/>
                    </a:stretch>
                  </pic:blipFill>
                  <pic:spPr>
                    <a:xfrm>
                      <a:off x="0" y="0"/>
                      <a:ext cx="5274310" cy="2780665"/>
                    </a:xfrm>
                    <a:prstGeom prst="rect">
                      <a:avLst/>
                    </a:prstGeom>
                    <a:noFill/>
                    <a:ln>
                      <a:noFill/>
                    </a:ln>
                  </pic:spPr>
                </pic:pic>
              </a:graphicData>
            </a:graphic>
          </wp:inline>
        </w:drawing>
      </w:r>
    </w:p>
    <w:p>
      <w:pPr>
        <w:spacing w:line="360" w:lineRule="auto"/>
        <w:jc w:val="center"/>
        <w:rPr>
          <w:rFonts w:ascii="Times New Roman" w:hAnsi="Times New Roman"/>
          <w:sz w:val="24"/>
          <w:szCs w:val="24"/>
        </w:rPr>
      </w:pPr>
      <w:r>
        <w:rPr>
          <w:rFonts w:ascii="Times New Roman" w:hAnsi="Times New Roman"/>
          <w:b/>
          <w:sz w:val="24"/>
          <w:szCs w:val="24"/>
        </w:rPr>
        <w:t>Figure 2</w:t>
      </w:r>
      <w:r>
        <w:rPr>
          <w:rFonts w:ascii="Times New Roman" w:hAnsi="Times New Roman"/>
          <w:sz w:val="24"/>
          <w:szCs w:val="24"/>
        </w:rPr>
        <w:t xml:space="preserve"> Cluster analysis of the sampling sites in this study. The numbers at the end of the cluster branches are the elevations (m) at each site.</w:t>
      </w:r>
    </w:p>
    <w:p>
      <w:pPr>
        <w:spacing w:line="360" w:lineRule="auto"/>
        <w:rPr>
          <w:rFonts w:ascii="Arial" w:hAnsi="Arial" w:cs="Arial"/>
          <w:sz w:val="20"/>
          <w:szCs w:val="20"/>
        </w:rPr>
      </w:pPr>
    </w:p>
    <w:p>
      <w:pPr>
        <w:spacing w:line="360" w:lineRule="auto"/>
        <w:jc w:val="center"/>
        <w:rPr>
          <w:rFonts w:ascii="Arial" w:hAnsi="Arial" w:cs="Arial"/>
          <w:sz w:val="20"/>
          <w:szCs w:val="20"/>
        </w:rPr>
      </w:pPr>
      <w:r>
        <w:rPr>
          <w:rFonts w:ascii="Arial" w:hAnsi="Arial" w:cs="Arial"/>
          <w:sz w:val="20"/>
          <w:szCs w:val="20"/>
        </w:rPr>
        <w:drawing>
          <wp:inline distT="0" distB="0" distL="114300" distR="114300">
            <wp:extent cx="5215890" cy="2427605"/>
            <wp:effectExtent l="0" t="0" r="3810" b="10795"/>
            <wp:docPr id="2" name="图片 3" descr="D:\1-科研\4-中华山蓼\11-Ecosystem Health and Sustainability\Figures\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D:\1-科研\4-中华山蓼\11-Ecosystem Health and Sustainability\Figures\Fig-3.TIF"/>
                    <pic:cNvPicPr>
                      <a:picLocks noChangeAspect="1"/>
                    </pic:cNvPicPr>
                  </pic:nvPicPr>
                  <pic:blipFill>
                    <a:blip r:embed="rId7"/>
                    <a:stretch>
                      <a:fillRect/>
                    </a:stretch>
                  </pic:blipFill>
                  <pic:spPr>
                    <a:xfrm>
                      <a:off x="0" y="0"/>
                      <a:ext cx="5215890" cy="2427605"/>
                    </a:xfrm>
                    <a:prstGeom prst="rect">
                      <a:avLst/>
                    </a:prstGeom>
                    <a:noFill/>
                    <a:ln>
                      <a:noFill/>
                    </a:ln>
                  </pic:spPr>
                </pic:pic>
              </a:graphicData>
            </a:graphic>
          </wp:inline>
        </w:drawing>
      </w:r>
    </w:p>
    <w:p>
      <w:pPr>
        <w:spacing w:line="360" w:lineRule="auto"/>
        <w:jc w:val="center"/>
        <w:rPr>
          <w:rFonts w:ascii="Times New Roman" w:hAnsi="Times New Roman"/>
          <w:sz w:val="24"/>
          <w:szCs w:val="24"/>
        </w:rPr>
      </w:pPr>
      <w:r>
        <w:rPr>
          <w:rFonts w:ascii="Times New Roman" w:hAnsi="Times New Roman"/>
          <w:b/>
          <w:sz w:val="24"/>
          <w:szCs w:val="24"/>
        </w:rPr>
        <w:t>Figure 3</w:t>
      </w:r>
      <w:r>
        <w:rPr>
          <w:rFonts w:ascii="Times New Roman" w:hAnsi="Times New Roman"/>
          <w:sz w:val="24"/>
          <w:szCs w:val="24"/>
        </w:rPr>
        <w:t xml:space="preserve"> Comparisons of five stomatal and vein traits between the elevational bands based on a cluster analysis.</w:t>
      </w:r>
    </w:p>
    <w:p>
      <w:pPr>
        <w:spacing w:line="360" w:lineRule="auto"/>
        <w:rPr>
          <w:rFonts w:ascii="Times New Roman" w:hAnsi="Times New Roman"/>
          <w:sz w:val="20"/>
          <w:szCs w:val="20"/>
        </w:rPr>
      </w:pPr>
      <w:r>
        <w:rPr>
          <w:rFonts w:ascii="Times New Roman" w:hAnsi="Times New Roman"/>
          <w:i/>
          <w:sz w:val="20"/>
          <w:szCs w:val="20"/>
        </w:rPr>
        <w:t>SD</w:t>
      </w:r>
      <w:r>
        <w:rPr>
          <w:rFonts w:ascii="Times New Roman" w:hAnsi="Times New Roman"/>
          <w:sz w:val="20"/>
          <w:szCs w:val="20"/>
        </w:rPr>
        <w:t xml:space="preserve">, stomatal density; </w:t>
      </w:r>
      <w:r>
        <w:rPr>
          <w:rFonts w:ascii="Times New Roman" w:hAnsi="Times New Roman"/>
          <w:i/>
          <w:sz w:val="20"/>
          <w:szCs w:val="20"/>
        </w:rPr>
        <w:t>SD</w:t>
      </w:r>
      <w:r>
        <w:rPr>
          <w:rFonts w:ascii="Times New Roman" w:hAnsi="Times New Roman"/>
          <w:sz w:val="20"/>
          <w:szCs w:val="20"/>
          <w:vertAlign w:val="subscript"/>
        </w:rPr>
        <w:t>up</w:t>
      </w:r>
      <w:r>
        <w:rPr>
          <w:rFonts w:ascii="Times New Roman" w:hAnsi="Times New Roman"/>
          <w:sz w:val="20"/>
          <w:szCs w:val="20"/>
        </w:rPr>
        <w:t>/</w:t>
      </w:r>
      <w:r>
        <w:rPr>
          <w:rFonts w:ascii="Times New Roman" w:hAnsi="Times New Roman"/>
          <w:i/>
          <w:sz w:val="20"/>
          <w:szCs w:val="20"/>
        </w:rPr>
        <w:t>SD</w:t>
      </w:r>
      <w:r>
        <w:rPr>
          <w:rFonts w:ascii="Times New Roman" w:hAnsi="Times New Roman"/>
          <w:sz w:val="20"/>
          <w:szCs w:val="20"/>
        </w:rPr>
        <w:t xml:space="preserve">, ratio of adaxial stomatal density to stomatal density; </w:t>
      </w:r>
      <w:r>
        <w:rPr>
          <w:rFonts w:ascii="Times New Roman" w:hAnsi="Times New Roman"/>
          <w:i/>
          <w:sz w:val="20"/>
          <w:szCs w:val="20"/>
        </w:rPr>
        <w:t>SD</w:t>
      </w:r>
      <w:r>
        <w:rPr>
          <w:rFonts w:ascii="Times New Roman" w:hAnsi="Times New Roman"/>
          <w:sz w:val="20"/>
          <w:szCs w:val="20"/>
          <w:vertAlign w:val="subscript"/>
        </w:rPr>
        <w:t>down</w:t>
      </w:r>
      <w:r>
        <w:rPr>
          <w:rFonts w:ascii="Times New Roman" w:hAnsi="Times New Roman"/>
          <w:sz w:val="20"/>
          <w:szCs w:val="20"/>
        </w:rPr>
        <w:t>/</w:t>
      </w:r>
      <w:r>
        <w:rPr>
          <w:rFonts w:ascii="Times New Roman" w:hAnsi="Times New Roman"/>
          <w:i/>
          <w:sz w:val="20"/>
          <w:szCs w:val="20"/>
        </w:rPr>
        <w:t>SD</w:t>
      </w:r>
      <w:r>
        <w:rPr>
          <w:rFonts w:ascii="Times New Roman" w:hAnsi="Times New Roman"/>
          <w:sz w:val="20"/>
          <w:szCs w:val="20"/>
        </w:rPr>
        <w:t xml:space="preserve">, ratio of abaxial stomatal density to stomatal density; </w:t>
      </w:r>
      <w:r>
        <w:rPr>
          <w:rFonts w:ascii="Times New Roman" w:hAnsi="Times New Roman"/>
          <w:i/>
          <w:sz w:val="20"/>
          <w:szCs w:val="20"/>
        </w:rPr>
        <w:t>SL</w:t>
      </w:r>
      <w:r>
        <w:rPr>
          <w:rFonts w:ascii="Times New Roman" w:hAnsi="Times New Roman"/>
          <w:sz w:val="20"/>
          <w:szCs w:val="20"/>
        </w:rPr>
        <w:t xml:space="preserve">, stomatal length; </w:t>
      </w:r>
      <w:r>
        <w:rPr>
          <w:rFonts w:ascii="Times New Roman" w:hAnsi="Times New Roman"/>
          <w:i/>
          <w:sz w:val="20"/>
          <w:szCs w:val="20"/>
        </w:rPr>
        <w:t>VD</w:t>
      </w:r>
      <w:r>
        <w:rPr>
          <w:rFonts w:ascii="Times New Roman" w:hAnsi="Times New Roman"/>
          <w:sz w:val="20"/>
          <w:szCs w:val="20"/>
        </w:rPr>
        <w:t>, vein density. Different letters above boxes indicate significant differences in each trait among sites (</w:t>
      </w:r>
      <w:r>
        <w:rPr>
          <w:rFonts w:ascii="Times New Roman" w:hAnsi="Times New Roman"/>
          <w:i/>
          <w:sz w:val="20"/>
          <w:szCs w:val="20"/>
        </w:rPr>
        <w:t>p</w:t>
      </w:r>
      <w:r>
        <w:rPr>
          <w:rFonts w:ascii="Times New Roman" w:hAnsi="Times New Roman"/>
          <w:sz w:val="20"/>
          <w:szCs w:val="20"/>
        </w:rPr>
        <w:t>&lt;0.05).</w:t>
      </w:r>
    </w:p>
    <w:p>
      <w:pPr>
        <w:spacing w:line="360" w:lineRule="auto"/>
        <w:rPr>
          <w:rFonts w:ascii="Times New Roman" w:hAnsi="Times New Roman"/>
          <w:sz w:val="20"/>
          <w:szCs w:val="20"/>
        </w:rPr>
      </w:pPr>
    </w:p>
    <w:p>
      <w:pPr>
        <w:spacing w:line="360" w:lineRule="auto"/>
        <w:jc w:val="center"/>
        <w:rPr>
          <w:rFonts w:ascii="Arial" w:hAnsi="Arial" w:cs="Arial"/>
          <w:sz w:val="20"/>
          <w:szCs w:val="20"/>
        </w:rPr>
      </w:pPr>
      <w:r>
        <w:rPr>
          <w:rFonts w:ascii="Arial" w:hAnsi="Arial" w:cs="Arial"/>
          <w:sz w:val="20"/>
          <w:szCs w:val="20"/>
        </w:rPr>
        <w:drawing>
          <wp:inline distT="0" distB="0" distL="114300" distR="114300">
            <wp:extent cx="5274310" cy="4709160"/>
            <wp:effectExtent l="0" t="0" r="2540" b="15240"/>
            <wp:docPr id="3" name="图片 4" descr="D:\1-科研\4-中华山蓼\11-Ecosystem Health and Sustainability\Figures\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D:\1-科研\4-中华山蓼\11-Ecosystem Health and Sustainability\Figures\Fig-4.TIF"/>
                    <pic:cNvPicPr>
                      <a:picLocks noChangeAspect="1"/>
                    </pic:cNvPicPr>
                  </pic:nvPicPr>
                  <pic:blipFill>
                    <a:blip r:embed="rId8"/>
                    <a:stretch>
                      <a:fillRect/>
                    </a:stretch>
                  </pic:blipFill>
                  <pic:spPr>
                    <a:xfrm>
                      <a:off x="0" y="0"/>
                      <a:ext cx="5274310" cy="4709160"/>
                    </a:xfrm>
                    <a:prstGeom prst="rect">
                      <a:avLst/>
                    </a:prstGeom>
                    <a:noFill/>
                    <a:ln>
                      <a:noFill/>
                    </a:ln>
                  </pic:spPr>
                </pic:pic>
              </a:graphicData>
            </a:graphic>
          </wp:inline>
        </w:drawing>
      </w:r>
    </w:p>
    <w:p>
      <w:pPr>
        <w:spacing w:line="360" w:lineRule="auto"/>
        <w:jc w:val="center"/>
        <w:rPr>
          <w:rFonts w:ascii="Times New Roman" w:hAnsi="Times New Roman" w:eastAsia="微软雅黑 Light"/>
          <w:sz w:val="24"/>
          <w:szCs w:val="24"/>
        </w:rPr>
      </w:pPr>
      <w:r>
        <w:rPr>
          <w:rFonts w:ascii="Times New Roman" w:hAnsi="Times New Roman" w:eastAsia="微软雅黑 Light"/>
          <w:b/>
          <w:sz w:val="24"/>
          <w:szCs w:val="24"/>
        </w:rPr>
        <w:t xml:space="preserve">Figure 4 </w:t>
      </w:r>
      <w:r>
        <w:rPr>
          <w:rFonts w:ascii="Times New Roman" w:hAnsi="Times New Roman" w:eastAsia="微软雅黑 Light"/>
          <w:sz w:val="24"/>
          <w:szCs w:val="24"/>
        </w:rPr>
        <w:t>Correlations between environmental factors and leaf traits in this study.</w:t>
      </w:r>
    </w:p>
    <w:p>
      <w:pPr>
        <w:spacing w:line="360" w:lineRule="auto"/>
        <w:rPr>
          <w:rFonts w:ascii="Times New Roman" w:hAnsi="Times New Roman"/>
          <w:sz w:val="20"/>
          <w:szCs w:val="20"/>
        </w:rPr>
      </w:pPr>
      <w:r>
        <w:rPr>
          <w:rFonts w:ascii="Times New Roman" w:hAnsi="Times New Roman"/>
          <w:i/>
          <w:sz w:val="20"/>
          <w:szCs w:val="20"/>
        </w:rPr>
        <w:t>SD</w:t>
      </w:r>
      <w:r>
        <w:rPr>
          <w:rFonts w:ascii="Times New Roman" w:hAnsi="Times New Roman"/>
          <w:sz w:val="20"/>
          <w:szCs w:val="20"/>
        </w:rPr>
        <w:t xml:space="preserve">, stomatal density; </w:t>
      </w:r>
      <w:r>
        <w:rPr>
          <w:rFonts w:ascii="Times New Roman" w:hAnsi="Times New Roman"/>
          <w:i/>
          <w:sz w:val="20"/>
          <w:szCs w:val="20"/>
        </w:rPr>
        <w:t>SD</w:t>
      </w:r>
      <w:r>
        <w:rPr>
          <w:rFonts w:ascii="Times New Roman" w:hAnsi="Times New Roman"/>
          <w:sz w:val="20"/>
          <w:szCs w:val="20"/>
          <w:vertAlign w:val="subscript"/>
        </w:rPr>
        <w:t>up</w:t>
      </w:r>
      <w:r>
        <w:rPr>
          <w:rFonts w:ascii="Times New Roman" w:hAnsi="Times New Roman"/>
          <w:sz w:val="20"/>
          <w:szCs w:val="20"/>
        </w:rPr>
        <w:t>/</w:t>
      </w:r>
      <w:r>
        <w:rPr>
          <w:rFonts w:ascii="Times New Roman" w:hAnsi="Times New Roman"/>
          <w:i/>
          <w:sz w:val="20"/>
          <w:szCs w:val="20"/>
        </w:rPr>
        <w:t>SD</w:t>
      </w:r>
      <w:r>
        <w:rPr>
          <w:rFonts w:ascii="Times New Roman" w:hAnsi="Times New Roman"/>
          <w:sz w:val="20"/>
          <w:szCs w:val="20"/>
        </w:rPr>
        <w:t xml:space="preserve">, ratio of adaxial stomatal density to stomatal density; </w:t>
      </w:r>
      <w:r>
        <w:rPr>
          <w:rFonts w:ascii="Times New Roman" w:hAnsi="Times New Roman"/>
          <w:i/>
          <w:sz w:val="20"/>
          <w:szCs w:val="20"/>
        </w:rPr>
        <w:t>SD</w:t>
      </w:r>
      <w:r>
        <w:rPr>
          <w:rFonts w:ascii="Times New Roman" w:hAnsi="Times New Roman"/>
          <w:sz w:val="20"/>
          <w:szCs w:val="20"/>
          <w:vertAlign w:val="subscript"/>
        </w:rPr>
        <w:t>down</w:t>
      </w:r>
      <w:r>
        <w:rPr>
          <w:rFonts w:ascii="Times New Roman" w:hAnsi="Times New Roman"/>
          <w:sz w:val="20"/>
          <w:szCs w:val="20"/>
        </w:rPr>
        <w:t>/</w:t>
      </w:r>
      <w:r>
        <w:rPr>
          <w:rFonts w:ascii="Times New Roman" w:hAnsi="Times New Roman"/>
          <w:i/>
          <w:sz w:val="20"/>
          <w:szCs w:val="20"/>
        </w:rPr>
        <w:t>SD</w:t>
      </w:r>
      <w:r>
        <w:rPr>
          <w:rFonts w:ascii="Times New Roman" w:hAnsi="Times New Roman"/>
          <w:sz w:val="20"/>
          <w:szCs w:val="20"/>
        </w:rPr>
        <w:t xml:space="preserve">, ratio of abaxial stomatal density to stomatal density; </w:t>
      </w:r>
      <w:r>
        <w:rPr>
          <w:rFonts w:ascii="Times New Roman" w:hAnsi="Times New Roman"/>
          <w:i/>
          <w:sz w:val="20"/>
          <w:szCs w:val="20"/>
        </w:rPr>
        <w:t>SL</w:t>
      </w:r>
      <w:r>
        <w:rPr>
          <w:rFonts w:ascii="Times New Roman" w:hAnsi="Times New Roman"/>
          <w:sz w:val="20"/>
          <w:szCs w:val="20"/>
        </w:rPr>
        <w:t xml:space="preserve">, stomatal length; </w:t>
      </w:r>
      <w:r>
        <w:rPr>
          <w:rFonts w:ascii="Times New Roman" w:hAnsi="Times New Roman"/>
          <w:i/>
          <w:sz w:val="20"/>
          <w:szCs w:val="20"/>
        </w:rPr>
        <w:t>VD</w:t>
      </w:r>
      <w:r>
        <w:rPr>
          <w:rFonts w:ascii="Times New Roman" w:hAnsi="Times New Roman"/>
          <w:sz w:val="20"/>
          <w:szCs w:val="20"/>
        </w:rPr>
        <w:t xml:space="preserve">, vein density. </w:t>
      </w:r>
      <w:r>
        <w:rPr>
          <w:rFonts w:ascii="Times New Roman" w:hAnsi="Times New Roman"/>
          <w:i/>
          <w:sz w:val="20"/>
          <w:szCs w:val="20"/>
        </w:rPr>
        <w:t>MAT</w:t>
      </w:r>
      <w:r>
        <w:rPr>
          <w:rFonts w:ascii="Times New Roman" w:hAnsi="Times New Roman"/>
          <w:sz w:val="20"/>
          <w:szCs w:val="20"/>
        </w:rPr>
        <w:t xml:space="preserve">, mean annual temperature; </w:t>
      </w:r>
      <w:r>
        <w:rPr>
          <w:rFonts w:ascii="Times New Roman" w:hAnsi="Times New Roman"/>
          <w:i/>
          <w:sz w:val="20"/>
          <w:szCs w:val="20"/>
        </w:rPr>
        <w:t>UV-B</w:t>
      </w:r>
      <w:r>
        <w:rPr>
          <w:rFonts w:ascii="Times New Roman" w:hAnsi="Times New Roman"/>
          <w:sz w:val="20"/>
          <w:szCs w:val="20"/>
        </w:rPr>
        <w:t xml:space="preserve">, daily mean maximum ultraviolet-B intensity. Significant levels: *, </w:t>
      </w:r>
      <w:r>
        <w:rPr>
          <w:rFonts w:ascii="Times New Roman" w:hAnsi="Times New Roman"/>
          <w:i/>
          <w:sz w:val="20"/>
          <w:szCs w:val="20"/>
        </w:rPr>
        <w:t>p</w:t>
      </w:r>
      <w:r>
        <w:rPr>
          <w:rFonts w:ascii="Times New Roman" w:hAnsi="Times New Roman"/>
          <w:sz w:val="20"/>
          <w:szCs w:val="20"/>
        </w:rPr>
        <w:t xml:space="preserve">&lt;0.05; **, </w:t>
      </w:r>
      <w:r>
        <w:rPr>
          <w:rFonts w:ascii="Times New Roman" w:hAnsi="Times New Roman"/>
          <w:i/>
          <w:sz w:val="20"/>
          <w:szCs w:val="20"/>
        </w:rPr>
        <w:t>p</w:t>
      </w:r>
      <w:r>
        <w:rPr>
          <w:rFonts w:ascii="Times New Roman" w:hAnsi="Times New Roman"/>
          <w:sz w:val="20"/>
          <w:szCs w:val="20"/>
        </w:rPr>
        <w:t xml:space="preserve">&lt;0.01; ***, </w:t>
      </w:r>
      <w:r>
        <w:rPr>
          <w:rFonts w:ascii="Times New Roman" w:hAnsi="Times New Roman"/>
          <w:i/>
          <w:sz w:val="20"/>
          <w:szCs w:val="20"/>
        </w:rPr>
        <w:t>p</w:t>
      </w:r>
      <w:r>
        <w:rPr>
          <w:rFonts w:ascii="Times New Roman" w:hAnsi="Times New Roman"/>
          <w:sz w:val="20"/>
          <w:szCs w:val="20"/>
        </w:rPr>
        <w:t>&lt;0.001.</w:t>
      </w:r>
    </w:p>
    <w:p>
      <w:pPr>
        <w:spacing w:line="360" w:lineRule="auto"/>
        <w:jc w:val="center"/>
        <w:rPr>
          <w:rFonts w:ascii="Arial" w:hAnsi="Arial" w:cs="Arial"/>
          <w:sz w:val="20"/>
          <w:szCs w:val="20"/>
        </w:rPr>
      </w:pPr>
      <w:r>
        <w:rPr>
          <w:rFonts w:ascii="Arial" w:hAnsi="Arial" w:cs="Arial"/>
          <w:sz w:val="20"/>
          <w:szCs w:val="20"/>
        </w:rPr>
        <w:drawing>
          <wp:inline distT="0" distB="0" distL="114300" distR="114300">
            <wp:extent cx="2475865" cy="4844415"/>
            <wp:effectExtent l="0" t="0" r="635" b="13335"/>
            <wp:docPr id="4" name="图片 5" descr="D:\1-科研\4-中华山蓼\11-Ecosystem Health and Sustainability\Figures\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D:\1-科研\4-中华山蓼\11-Ecosystem Health and Sustainability\Figures\Fig-5.tif"/>
                    <pic:cNvPicPr>
                      <a:picLocks noChangeAspect="1"/>
                    </pic:cNvPicPr>
                  </pic:nvPicPr>
                  <pic:blipFill>
                    <a:blip r:embed="rId9"/>
                    <a:stretch>
                      <a:fillRect/>
                    </a:stretch>
                  </pic:blipFill>
                  <pic:spPr>
                    <a:xfrm>
                      <a:off x="0" y="0"/>
                      <a:ext cx="2475865" cy="4844415"/>
                    </a:xfrm>
                    <a:prstGeom prst="rect">
                      <a:avLst/>
                    </a:prstGeom>
                    <a:noFill/>
                    <a:ln>
                      <a:noFill/>
                    </a:ln>
                  </pic:spPr>
                </pic:pic>
              </a:graphicData>
            </a:graphic>
          </wp:inline>
        </w:drawing>
      </w:r>
    </w:p>
    <w:p>
      <w:pPr>
        <w:tabs>
          <w:tab w:val="left" w:pos="6958"/>
        </w:tabs>
        <w:spacing w:line="360" w:lineRule="auto"/>
        <w:jc w:val="center"/>
        <w:rPr>
          <w:rFonts w:ascii="Times New Roman" w:hAnsi="Times New Roman"/>
          <w:sz w:val="24"/>
          <w:szCs w:val="24"/>
        </w:rPr>
      </w:pPr>
      <w:r>
        <w:rPr>
          <w:rFonts w:ascii="Times New Roman" w:hAnsi="Times New Roman"/>
          <w:b/>
          <w:sz w:val="24"/>
          <w:szCs w:val="24"/>
        </w:rPr>
        <w:t>Figure 5</w:t>
      </w:r>
      <w:r>
        <w:rPr>
          <w:rFonts w:ascii="Times New Roman" w:hAnsi="Times New Roman"/>
          <w:sz w:val="24"/>
          <w:szCs w:val="24"/>
        </w:rPr>
        <w:t xml:space="preserve"> Correlations between stomatal density and vein density of </w:t>
      </w:r>
      <w:r>
        <w:rPr>
          <w:rFonts w:ascii="Times New Roman" w:hAnsi="Times New Roman"/>
          <w:i/>
          <w:sz w:val="24"/>
          <w:szCs w:val="24"/>
        </w:rPr>
        <w:t>O. sinensis</w:t>
      </w:r>
      <w:r>
        <w:rPr>
          <w:rFonts w:ascii="Times New Roman" w:hAnsi="Times New Roman"/>
          <w:sz w:val="24"/>
          <w:szCs w:val="24"/>
        </w:rPr>
        <w:t>.</w:t>
      </w:r>
    </w:p>
    <w:p>
      <w:pPr>
        <w:tabs>
          <w:tab w:val="left" w:pos="6958"/>
        </w:tabs>
        <w:spacing w:line="360" w:lineRule="auto"/>
        <w:rPr>
          <w:rFonts w:ascii="Times New Roman" w:hAnsi="Times New Roman"/>
          <w:sz w:val="20"/>
          <w:szCs w:val="20"/>
        </w:rPr>
      </w:pPr>
      <w:r>
        <w:rPr>
          <w:rFonts w:ascii="Times New Roman" w:hAnsi="Times New Roman"/>
          <w:i/>
          <w:sz w:val="20"/>
          <w:szCs w:val="20"/>
        </w:rPr>
        <w:t>SD</w:t>
      </w:r>
      <w:r>
        <w:rPr>
          <w:rFonts w:ascii="Times New Roman" w:hAnsi="Times New Roman"/>
          <w:sz w:val="20"/>
          <w:szCs w:val="20"/>
        </w:rPr>
        <w:t xml:space="preserve">, stomatal density; </w:t>
      </w:r>
      <w:r>
        <w:rPr>
          <w:rFonts w:ascii="Times New Roman" w:hAnsi="Times New Roman"/>
          <w:i/>
          <w:sz w:val="20"/>
          <w:szCs w:val="20"/>
        </w:rPr>
        <w:t>SD</w:t>
      </w:r>
      <w:r>
        <w:rPr>
          <w:rFonts w:ascii="Times New Roman" w:hAnsi="Times New Roman"/>
          <w:sz w:val="20"/>
          <w:szCs w:val="20"/>
          <w:vertAlign w:val="subscript"/>
        </w:rPr>
        <w:t>up</w:t>
      </w:r>
      <w:r>
        <w:rPr>
          <w:rFonts w:ascii="Times New Roman" w:hAnsi="Times New Roman"/>
          <w:sz w:val="20"/>
          <w:szCs w:val="20"/>
        </w:rPr>
        <w:t>/</w:t>
      </w:r>
      <w:r>
        <w:rPr>
          <w:rFonts w:ascii="Times New Roman" w:hAnsi="Times New Roman"/>
          <w:i/>
          <w:sz w:val="20"/>
          <w:szCs w:val="20"/>
        </w:rPr>
        <w:t>SD</w:t>
      </w:r>
      <w:r>
        <w:rPr>
          <w:rFonts w:ascii="Times New Roman" w:hAnsi="Times New Roman"/>
          <w:sz w:val="20"/>
          <w:szCs w:val="20"/>
        </w:rPr>
        <w:t xml:space="preserve">, ratio of adaxial stomatal density to stomatal density; </w:t>
      </w:r>
      <w:r>
        <w:rPr>
          <w:rFonts w:ascii="Times New Roman" w:hAnsi="Times New Roman"/>
          <w:i/>
          <w:sz w:val="20"/>
          <w:szCs w:val="20"/>
        </w:rPr>
        <w:t>SD</w:t>
      </w:r>
      <w:r>
        <w:rPr>
          <w:rFonts w:ascii="Times New Roman" w:hAnsi="Times New Roman"/>
          <w:sz w:val="20"/>
          <w:szCs w:val="20"/>
          <w:vertAlign w:val="subscript"/>
        </w:rPr>
        <w:t>down</w:t>
      </w:r>
      <w:r>
        <w:rPr>
          <w:rFonts w:ascii="Times New Roman" w:hAnsi="Times New Roman"/>
          <w:sz w:val="20"/>
          <w:szCs w:val="20"/>
        </w:rPr>
        <w:t>/</w:t>
      </w:r>
      <w:r>
        <w:rPr>
          <w:rFonts w:ascii="Times New Roman" w:hAnsi="Times New Roman"/>
          <w:i/>
          <w:sz w:val="20"/>
          <w:szCs w:val="20"/>
        </w:rPr>
        <w:t>SD</w:t>
      </w:r>
      <w:r>
        <w:rPr>
          <w:rFonts w:ascii="Times New Roman" w:hAnsi="Times New Roman"/>
          <w:sz w:val="20"/>
          <w:szCs w:val="20"/>
        </w:rPr>
        <w:t xml:space="preserve">, ratio of abaxial stomatal density to stomatal density; </w:t>
      </w:r>
      <w:r>
        <w:rPr>
          <w:rFonts w:ascii="Times New Roman" w:hAnsi="Times New Roman"/>
          <w:i/>
          <w:sz w:val="20"/>
          <w:szCs w:val="20"/>
        </w:rPr>
        <w:t>VD</w:t>
      </w:r>
      <w:r>
        <w:rPr>
          <w:rFonts w:ascii="Times New Roman" w:hAnsi="Times New Roman"/>
          <w:sz w:val="20"/>
          <w:szCs w:val="20"/>
        </w:rPr>
        <w:t xml:space="preserve">, vein density. Significant levels: **, </w:t>
      </w:r>
      <w:r>
        <w:rPr>
          <w:rFonts w:ascii="Times New Roman" w:hAnsi="Times New Roman"/>
          <w:i/>
          <w:sz w:val="20"/>
          <w:szCs w:val="20"/>
        </w:rPr>
        <w:t>p</w:t>
      </w:r>
      <w:r>
        <w:rPr>
          <w:rFonts w:ascii="Times New Roman" w:hAnsi="Times New Roman"/>
          <w:sz w:val="20"/>
          <w:szCs w:val="20"/>
        </w:rPr>
        <w:t xml:space="preserve">&lt;0.01; ***, </w:t>
      </w:r>
      <w:r>
        <w:rPr>
          <w:rFonts w:ascii="Times New Roman" w:hAnsi="Times New Roman"/>
          <w:i/>
          <w:sz w:val="20"/>
          <w:szCs w:val="20"/>
        </w:rPr>
        <w:t>p</w:t>
      </w:r>
      <w:r>
        <w:rPr>
          <w:rFonts w:ascii="Times New Roman" w:hAnsi="Times New Roman"/>
          <w:sz w:val="20"/>
          <w:szCs w:val="20"/>
        </w:rPr>
        <w:t>&lt;0.001.</w:t>
      </w:r>
    </w:p>
    <w:p/>
    <w:p>
      <w:pPr>
        <w:spacing w:line="480" w:lineRule="auto"/>
        <w:ind w:left="480" w:hanging="480" w:hangingChars="200"/>
        <w:rPr>
          <w:rFonts w:ascii="Times New Roman" w:hAnsi="Times New Roman"/>
          <w:sz w:val="24"/>
          <w:szCs w:val="24"/>
          <w:shd w:val="clear" w:color="auto" w:fill="FFFFFF"/>
        </w:rPr>
      </w:pPr>
    </w:p>
    <w:sectPr>
      <w:footerReference r:id="rId3" w:type="default"/>
      <w:pgSz w:w="11906" w:h="16838"/>
      <w:pgMar w:top="1440" w:right="1701" w:bottom="1440" w:left="1701" w:header="851" w:footer="737" w:gutter="0"/>
      <w:lnNumType w:countBy="1" w:restart="continuou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微软雅黑 Light">
    <w:panose1 w:val="020B0502040204020203"/>
    <w:charset w:val="86"/>
    <w:family w:val="swiss"/>
    <w:pitch w:val="default"/>
    <w:sig w:usb0="80000287" w:usb1="2ACF001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lang w:val="zh-CN"/>
      </w:rPr>
      <w:t xml:space="preserve"> </w:t>
    </w:r>
    <w:r>
      <w:rPr>
        <w:rFonts w:ascii="Times New Roman" w:hAnsi="Times New Roman"/>
        <w:b/>
      </w:rPr>
      <w:fldChar w:fldCharType="begin"/>
    </w:r>
    <w:r>
      <w:rPr>
        <w:rFonts w:ascii="Times New Roman" w:hAnsi="Times New Roman"/>
        <w:b/>
      </w:rPr>
      <w:instrText xml:space="preserve">PAGE</w:instrText>
    </w:r>
    <w:r>
      <w:rPr>
        <w:rFonts w:ascii="Times New Roman" w:hAnsi="Times New Roman"/>
        <w:b/>
      </w:rPr>
      <w:fldChar w:fldCharType="separate"/>
    </w:r>
    <w:r>
      <w:rPr>
        <w:rFonts w:ascii="Times New Roman" w:hAnsi="Times New Roman"/>
        <w:b/>
      </w:rPr>
      <w:t>24</w:t>
    </w:r>
    <w:r>
      <w:rPr>
        <w:rFonts w:ascii="Times New Roman" w:hAnsi="Times New Roman"/>
        <w:b/>
      </w:rPr>
      <w:fldChar w:fldCharType="end"/>
    </w:r>
    <w:r>
      <w:rPr>
        <w:rFonts w:ascii="Times New Roman" w:hAnsi="Times New Roman"/>
        <w:lang w:val="zh-CN"/>
      </w:rPr>
      <w:t xml:space="preserve"> / </w:t>
    </w:r>
    <w:r>
      <w:rPr>
        <w:rFonts w:ascii="Times New Roman" w:hAnsi="Times New Roman"/>
        <w:b/>
      </w:rPr>
      <w:fldChar w:fldCharType="begin"/>
    </w:r>
    <w:r>
      <w:rPr>
        <w:rFonts w:ascii="Times New Roman" w:hAnsi="Times New Roman"/>
        <w:b/>
      </w:rPr>
      <w:instrText xml:space="preserve">NUMPAGES</w:instrText>
    </w:r>
    <w:r>
      <w:rPr>
        <w:rFonts w:ascii="Times New Roman" w:hAnsi="Times New Roman"/>
        <w:b/>
      </w:rPr>
      <w:fldChar w:fldCharType="separate"/>
    </w:r>
    <w:r>
      <w:rPr>
        <w:rFonts w:ascii="Times New Roman" w:hAnsi="Times New Roman"/>
        <w:b/>
      </w:rPr>
      <w:t>25</w:t>
    </w:r>
    <w:r>
      <w:rPr>
        <w:rFonts w:ascii="Times New Roman" w:hAnsi="Times New Roman"/>
        <w:b/>
      </w:rPr>
      <w:fldChar w:fldCharType="end"/>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26457A"/>
    <w:rsid w:val="04AC6F1A"/>
    <w:rsid w:val="07465FBB"/>
    <w:rsid w:val="0CCC6CC3"/>
    <w:rsid w:val="0F483429"/>
    <w:rsid w:val="10503087"/>
    <w:rsid w:val="1B070A3B"/>
    <w:rsid w:val="2A1F3E59"/>
    <w:rsid w:val="2AD9515E"/>
    <w:rsid w:val="3126457A"/>
    <w:rsid w:val="38B31161"/>
    <w:rsid w:val="3999788D"/>
    <w:rsid w:val="3B9A3C9D"/>
    <w:rsid w:val="493A0D3B"/>
    <w:rsid w:val="50BE4F77"/>
    <w:rsid w:val="5C1D4353"/>
    <w:rsid w:val="5D353A6E"/>
    <w:rsid w:val="625628DC"/>
    <w:rsid w:val="62DC478B"/>
    <w:rsid w:val="65673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character" w:styleId="5">
    <w:name w:val="Hyperlink"/>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306</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2021-06-03T03:24:00Z</dcterms:created>
  <dc:creator>刘清</dc:creator>
  <cp:lastModifiedBy>刘清</cp:lastModifiedBy>
  <dcterms:modified xsi:type="dcterms:W3CDTF">2021-06-03T11:49:38Z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B986F0CFD7FC4841B425F8CD071F83E1</vt:lpwstr>
  </property>
</Properties>
</file>